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40" w:before="0" w:after="0"/>
        <w:ind w:left="0" w:right="0" w:hanging="0"/>
        <w:jc w:val="center"/>
        <w:rPr/>
      </w:pPr>
      <w:r>
        <w:rPr>
          <w:rFonts w:ascii="Times New Roman" w:hAnsi="Times New Roman"/>
          <w:b/>
          <w:i/>
          <w:sz w:val="28"/>
        </w:rPr>
        <w:t xml:space="preserve">Анализ </w:t>
      </w:r>
    </w:p>
    <w:p>
      <w:pPr>
        <w:pStyle w:val="Normal"/>
        <w:widowControl/>
        <w:spacing w:lineRule="auto" w:line="240" w:before="0" w:after="0"/>
        <w:ind w:left="0" w:right="0" w:hanging="0"/>
        <w:jc w:val="center"/>
        <w:rPr/>
      </w:pPr>
      <w:r>
        <w:rPr>
          <w:rFonts w:ascii="Times New Roman" w:hAnsi="Times New Roman"/>
          <w:b/>
          <w:i/>
          <w:sz w:val="28"/>
        </w:rPr>
        <w:t>проведённых Управлением Росгвардии по Калининградской области  мероприятий по осуществлению федерального государственного контроля за частной охранной  и детективной деятельностью, в сфере оборота оружия,  контроля за обеспечением безопасности объектов топливно-энергетического комплекса, а также деятельности подразделений охраны юридических лиц с особыми уставными задачами и подразделениями ведомственной охраны  за</w:t>
      </w:r>
      <w:r>
        <w:rPr>
          <w:rFonts w:ascii="Times New Roman" w:hAnsi="Times New Roman"/>
          <w:b/>
          <w:i/>
          <w:color w:val="000000"/>
          <w:spacing w:val="0"/>
          <w:sz w:val="28"/>
        </w:rPr>
        <w:t xml:space="preserve"> 1 полугодие </w:t>
      </w:r>
      <w:r>
        <w:rPr>
          <w:rFonts w:ascii="Times New Roman" w:hAnsi="Times New Roman"/>
          <w:b/>
          <w:i/>
          <w:sz w:val="28"/>
        </w:rPr>
        <w:t>2023 года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территории Калининградской области зарегистрировано всего  </w:t>
      </w:r>
      <w:r>
        <w:rPr>
          <w:rFonts w:ascii="Times New Roman" w:hAnsi="Times New Roman"/>
          <w:color w:val="000000"/>
          <w:spacing w:val="0"/>
          <w:sz w:val="28"/>
        </w:rPr>
        <w:t>136</w:t>
      </w:r>
      <w:r>
        <w:rPr>
          <w:rFonts w:ascii="Times New Roman" w:hAnsi="Times New Roman"/>
          <w:sz w:val="28"/>
        </w:rPr>
        <w:t xml:space="preserve"> юридических лиц, имеющих лицензию на осуществление частн</w:t>
      </w:r>
      <w:r>
        <w:rPr>
          <w:rFonts w:ascii="Times New Roman" w:hAnsi="Times New Roman"/>
          <w:color w:val="000000"/>
          <w:spacing w:val="0"/>
          <w:sz w:val="28"/>
        </w:rPr>
        <w:t>ой охранной деятельности (далее - ЧОО)</w:t>
      </w:r>
      <w:r>
        <w:rPr>
          <w:rFonts w:ascii="Times New Roman" w:hAnsi="Times New Roman"/>
          <w:sz w:val="28"/>
        </w:rPr>
        <w:t>, из них</w:t>
      </w:r>
      <w:r>
        <w:rPr>
          <w:rFonts w:ascii="Times New Roman" w:hAnsi="Times New Roman"/>
          <w:sz w:val="28"/>
          <w:highlight w:val="white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highlight w:val="white"/>
        </w:rPr>
        <w:t>70</w:t>
      </w:r>
      <w:r>
        <w:rPr>
          <w:rFonts w:ascii="Times New Roman" w:hAnsi="Times New Roman"/>
          <w:sz w:val="28"/>
        </w:rPr>
        <w:t xml:space="preserve"> используют в своей уставной деятельности служебное оружие, на вооружении которых состоит более </w:t>
      </w:r>
      <w:r>
        <w:rPr>
          <w:rFonts w:ascii="Times New Roman" w:hAnsi="Times New Roman"/>
          <w:color w:val="000000"/>
          <w:spacing w:val="0"/>
          <w:sz w:val="28"/>
        </w:rPr>
        <w:t xml:space="preserve">400 </w:t>
      </w:r>
      <w:r>
        <w:rPr>
          <w:rFonts w:ascii="Times New Roman" w:hAnsi="Times New Roman"/>
          <w:sz w:val="28"/>
        </w:rPr>
        <w:t>ед. служебного оружия.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ЧОО работают более </w:t>
      </w:r>
      <w:r>
        <w:rPr>
          <w:rFonts w:ascii="Times New Roman" w:hAnsi="Times New Roman"/>
          <w:color w:val="000000"/>
          <w:spacing w:val="0"/>
          <w:sz w:val="28"/>
        </w:rPr>
        <w:t>5000</w:t>
      </w:r>
      <w:r>
        <w:rPr>
          <w:rFonts w:ascii="Times New Roman" w:hAnsi="Times New Roman"/>
          <w:sz w:val="28"/>
        </w:rPr>
        <w:t xml:space="preserve"> сотрудник</w:t>
      </w:r>
      <w:r>
        <w:rPr>
          <w:rFonts w:ascii="Times New Roman" w:hAnsi="Times New Roman"/>
          <w:color w:val="000000"/>
          <w:spacing w:val="0"/>
          <w:sz w:val="28"/>
        </w:rPr>
        <w:t>ов</w:t>
      </w:r>
      <w:r>
        <w:rPr>
          <w:rFonts w:ascii="Times New Roman" w:hAnsi="Times New Roman"/>
          <w:sz w:val="28"/>
        </w:rPr>
        <w:t xml:space="preserve">, имеющих удостоверение частного охранника, </w:t>
      </w:r>
      <w:r>
        <w:rPr>
          <w:rFonts w:ascii="Times New Roman" w:hAnsi="Times New Roman"/>
          <w:color w:val="000000"/>
          <w:spacing w:val="0"/>
          <w:sz w:val="28"/>
        </w:rPr>
        <w:t>которыми</w:t>
      </w:r>
      <w:r>
        <w:rPr>
          <w:rFonts w:ascii="Times New Roman" w:hAnsi="Times New Roman"/>
          <w:sz w:val="28"/>
        </w:rPr>
        <w:t xml:space="preserve"> обеспечивается охрана более </w:t>
      </w:r>
      <w:r>
        <w:rPr>
          <w:rFonts w:ascii="Times New Roman" w:hAnsi="Times New Roman"/>
          <w:color w:val="000000"/>
          <w:spacing w:val="0"/>
          <w:sz w:val="28"/>
        </w:rPr>
        <w:t>24 тысяч</w:t>
      </w:r>
      <w:r>
        <w:rPr>
          <w:rFonts w:ascii="Times New Roman" w:hAnsi="Times New Roman"/>
          <w:sz w:val="28"/>
        </w:rPr>
        <w:t xml:space="preserve"> объектов различных форм собственности.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Кроме того, на территории области зарегистрировано </w:t>
      </w:r>
      <w:r>
        <w:rPr>
          <w:rFonts w:ascii="Times New Roman" w:hAnsi="Times New Roman"/>
          <w:color w:val="000000"/>
          <w:spacing w:val="0"/>
          <w:sz w:val="28"/>
        </w:rPr>
        <w:t>6</w:t>
      </w:r>
      <w:r>
        <w:rPr>
          <w:rFonts w:ascii="Times New Roman" w:hAnsi="Times New Roman"/>
          <w:sz w:val="28"/>
        </w:rPr>
        <w:t xml:space="preserve"> частных детективов и 4</w:t>
      </w:r>
      <w:r>
        <w:rPr>
          <w:rFonts w:ascii="Times New Roman" w:hAnsi="Times New Roman"/>
          <w:color w:val="000000"/>
          <w:spacing w:val="0"/>
          <w:sz w:val="28"/>
        </w:rPr>
        <w:t xml:space="preserve"> </w:t>
      </w:r>
      <w:r>
        <w:rPr>
          <w:rFonts w:ascii="Times New Roman" w:hAnsi="Times New Roman"/>
          <w:sz w:val="28"/>
        </w:rPr>
        <w:t>юридических лица осуществляющих торговлю оружием.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осуществления </w:t>
      </w:r>
      <w:r>
        <w:rPr>
          <w:rFonts w:ascii="Times New Roman" w:hAnsi="Times New Roman"/>
          <w:b/>
          <w:i/>
          <w:sz w:val="28"/>
        </w:rPr>
        <w:t>федерального государственного контроля за соблюдением законодательства Российской Федерации в области частной охранной деятельности</w:t>
      </w:r>
      <w:r>
        <w:rPr>
          <w:rFonts w:ascii="Times New Roman" w:hAnsi="Times New Roman"/>
          <w:sz w:val="28"/>
        </w:rPr>
        <w:t xml:space="preserve">  в 1 полугодии 202</w:t>
      </w:r>
      <w:r>
        <w:rPr>
          <w:rFonts w:ascii="Times New Roman" w:hAnsi="Times New Roman"/>
          <w:color w:val="000000"/>
          <w:spacing w:val="0"/>
          <w:sz w:val="28"/>
        </w:rPr>
        <w:t>3</w:t>
      </w:r>
      <w:r>
        <w:rPr>
          <w:rFonts w:ascii="Times New Roman" w:hAnsi="Times New Roman"/>
          <w:sz w:val="28"/>
        </w:rPr>
        <w:t xml:space="preserve"> год</w:t>
      </w:r>
      <w:r>
        <w:rPr>
          <w:rFonts w:ascii="Times New Roman" w:hAnsi="Times New Roman"/>
          <w:color w:val="000000"/>
          <w:spacing w:val="0"/>
          <w:sz w:val="28"/>
        </w:rPr>
        <w:t>а</w:t>
      </w:r>
      <w:r>
        <w:rPr>
          <w:rFonts w:ascii="Times New Roman" w:hAnsi="Times New Roman"/>
          <w:sz w:val="28"/>
        </w:rPr>
        <w:t xml:space="preserve"> в </w:t>
      </w:r>
      <w:r>
        <w:rPr>
          <w:rFonts w:ascii="Times New Roman" w:hAnsi="Times New Roman"/>
          <w:color w:val="000000"/>
          <w:spacing w:val="0"/>
          <w:sz w:val="28"/>
        </w:rPr>
        <w:t>ЧОО</w:t>
      </w:r>
      <w:r>
        <w:rPr>
          <w:rFonts w:ascii="Times New Roman" w:hAnsi="Times New Roman"/>
          <w:sz w:val="28"/>
        </w:rPr>
        <w:t xml:space="preserve"> проведено </w:t>
      </w:r>
      <w:r>
        <w:rPr>
          <w:rFonts w:ascii="Times New Roman" w:hAnsi="Times New Roman"/>
          <w:color w:val="000000"/>
          <w:spacing w:val="0"/>
          <w:sz w:val="28"/>
        </w:rPr>
        <w:t>35</w:t>
      </w:r>
      <w:r>
        <w:rPr>
          <w:rFonts w:ascii="Times New Roman" w:hAnsi="Times New Roman"/>
          <w:sz w:val="28"/>
        </w:rPr>
        <w:t xml:space="preserve"> проверок, в том числе 18 проверок в соответствии с ежегодным планом проведения плановых проверок на 2023 год.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 результатам проверок в деятельности </w:t>
      </w:r>
      <w:r>
        <w:rPr>
          <w:rFonts w:ascii="Times New Roman" w:hAnsi="Times New Roman"/>
          <w:color w:val="000000"/>
          <w:spacing w:val="0"/>
          <w:sz w:val="28"/>
        </w:rPr>
        <w:t>23</w:t>
      </w:r>
      <w:r>
        <w:rPr>
          <w:rFonts w:ascii="Times New Roman" w:hAnsi="Times New Roman"/>
          <w:sz w:val="28"/>
        </w:rPr>
        <w:t xml:space="preserve"> ЧОО выявлены нарушения законодательства о частной охранной деятельности, общее количество административных протоколов - </w:t>
      </w:r>
      <w:r>
        <w:rPr>
          <w:rFonts w:ascii="Times New Roman" w:hAnsi="Times New Roman"/>
          <w:color w:val="000000"/>
          <w:spacing w:val="0"/>
          <w:sz w:val="28"/>
        </w:rPr>
        <w:t>41</w:t>
      </w:r>
      <w:r>
        <w:rPr>
          <w:rFonts w:ascii="Times New Roman" w:hAnsi="Times New Roman"/>
          <w:sz w:val="28"/>
        </w:rPr>
        <w:t xml:space="preserve">. Аннулировано удостоверений частного охранника у работников ЧОО - </w:t>
      </w:r>
      <w:r>
        <w:rPr>
          <w:rFonts w:ascii="Times New Roman" w:hAnsi="Times New Roman"/>
          <w:color w:val="000000"/>
          <w:spacing w:val="0"/>
          <w:sz w:val="28"/>
        </w:rPr>
        <w:t>2</w:t>
      </w:r>
      <w:r>
        <w:rPr>
          <w:rFonts w:ascii="Times New Roman" w:hAnsi="Times New Roman"/>
          <w:sz w:val="28"/>
        </w:rPr>
        <w:t xml:space="preserve">.  Выдано </w:t>
      </w:r>
      <w:r>
        <w:rPr>
          <w:rFonts w:ascii="Times New Roman" w:hAnsi="Times New Roman"/>
          <w:color w:val="000000"/>
          <w:spacing w:val="0"/>
          <w:sz w:val="28"/>
        </w:rPr>
        <w:t>23</w:t>
      </w:r>
      <w:r>
        <w:rPr>
          <w:rFonts w:ascii="Times New Roman" w:hAnsi="Times New Roman"/>
          <w:sz w:val="28"/>
        </w:rPr>
        <w:t xml:space="preserve"> предписани</w:t>
      </w:r>
      <w:r>
        <w:rPr>
          <w:rFonts w:ascii="Times New Roman" w:hAnsi="Times New Roman"/>
          <w:color w:val="000000"/>
          <w:spacing w:val="0"/>
          <w:sz w:val="28"/>
        </w:rPr>
        <w:t>я</w:t>
      </w:r>
      <w:r>
        <w:rPr>
          <w:rFonts w:ascii="Times New Roman" w:hAnsi="Times New Roman"/>
          <w:sz w:val="28"/>
        </w:rPr>
        <w:t xml:space="preserve"> об устранении </w:t>
      </w:r>
      <w:r>
        <w:rPr>
          <w:rFonts w:ascii="Times New Roman" w:hAnsi="Times New Roman"/>
          <w:color w:val="000000"/>
          <w:spacing w:val="0"/>
          <w:sz w:val="28"/>
        </w:rPr>
        <w:t xml:space="preserve">нарушений обязательных </w:t>
      </w:r>
      <w:r>
        <w:rPr>
          <w:rFonts w:ascii="Times New Roman" w:hAnsi="Times New Roman"/>
          <w:sz w:val="28"/>
        </w:rPr>
        <w:t>требований. Основани</w:t>
      </w:r>
      <w:r>
        <w:rPr>
          <w:rFonts w:ascii="Times New Roman" w:hAnsi="Times New Roman"/>
          <w:color w:val="000000"/>
          <w:spacing w:val="0"/>
          <w:sz w:val="28"/>
        </w:rPr>
        <w:t>я</w:t>
      </w:r>
      <w:r>
        <w:rPr>
          <w:rFonts w:ascii="Times New Roman" w:hAnsi="Times New Roman"/>
          <w:sz w:val="28"/>
        </w:rPr>
        <w:t xml:space="preserve"> и результат</w:t>
      </w:r>
      <w:r>
        <w:rPr>
          <w:rFonts w:ascii="Times New Roman" w:hAnsi="Times New Roman"/>
          <w:color w:val="000000"/>
          <w:spacing w:val="0"/>
          <w:sz w:val="28"/>
        </w:rPr>
        <w:t>ы</w:t>
      </w:r>
      <w:r>
        <w:rPr>
          <w:rFonts w:ascii="Times New Roman" w:hAnsi="Times New Roman"/>
          <w:sz w:val="28"/>
        </w:rPr>
        <w:t xml:space="preserve"> проведения провер</w:t>
      </w:r>
      <w:r>
        <w:rPr>
          <w:rFonts w:ascii="Times New Roman" w:hAnsi="Times New Roman"/>
          <w:color w:val="000000"/>
          <w:spacing w:val="0"/>
          <w:sz w:val="28"/>
        </w:rPr>
        <w:t>ок</w:t>
      </w:r>
      <w:r>
        <w:rPr>
          <w:rFonts w:ascii="Times New Roman" w:hAnsi="Times New Roman"/>
          <w:sz w:val="28"/>
        </w:rPr>
        <w:t xml:space="preserve"> в 2023 году в судах не оспаривались</w:t>
      </w:r>
      <w:r>
        <w:rPr>
          <w:rFonts w:ascii="Times New Roman" w:hAnsi="Times New Roman"/>
          <w:color w:val="000000"/>
          <w:spacing w:val="0"/>
          <w:sz w:val="28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 отчётный период фактов утраты и хищения служебного оружия на территории области не допущено.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1 полугодии 2023 год</w:t>
      </w:r>
      <w:r>
        <w:rPr>
          <w:rFonts w:ascii="Times New Roman" w:hAnsi="Times New Roman"/>
          <w:color w:val="000000"/>
          <w:spacing w:val="0"/>
          <w:sz w:val="28"/>
        </w:rPr>
        <w:t>а</w:t>
      </w:r>
      <w:r>
        <w:rPr>
          <w:rFonts w:ascii="Times New Roman" w:hAnsi="Times New Roman"/>
          <w:sz w:val="28"/>
        </w:rPr>
        <w:t xml:space="preserve"> Центром лицензионно-разрешительной работы Управления Росгвардии по Калининградской области </w:t>
      </w:r>
      <w:r>
        <w:rPr>
          <w:rFonts w:ascii="Times New Roman" w:hAnsi="Times New Roman"/>
          <w:color w:val="000000"/>
          <w:spacing w:val="0"/>
          <w:sz w:val="28"/>
        </w:rPr>
        <w:t xml:space="preserve">в отношении 3 юридических лиц (ЧОО) </w:t>
      </w:r>
      <w:r>
        <w:rPr>
          <w:rFonts w:ascii="Times New Roman" w:hAnsi="Times New Roman"/>
          <w:sz w:val="28"/>
        </w:rPr>
        <w:t>приняты решения о прекращении действия лицензии на осуществление частной охранной деятельности.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осуществления </w:t>
      </w:r>
      <w:r>
        <w:rPr>
          <w:rFonts w:ascii="Times New Roman" w:hAnsi="Times New Roman"/>
          <w:b/>
          <w:i/>
          <w:sz w:val="28"/>
        </w:rPr>
        <w:t xml:space="preserve">федерального государственного контроля за соблюдением законодательства в области частной </w:t>
      </w:r>
      <w:r>
        <w:rPr>
          <w:rFonts w:ascii="Times New Roman" w:hAnsi="Times New Roman"/>
          <w:b/>
          <w:i/>
          <w:color w:val="000000"/>
          <w:spacing w:val="0"/>
          <w:sz w:val="28"/>
        </w:rPr>
        <w:t xml:space="preserve">детективной </w:t>
      </w:r>
      <w:r>
        <w:rPr>
          <w:rFonts w:ascii="Times New Roman" w:hAnsi="Times New Roman"/>
          <w:b/>
          <w:i/>
          <w:sz w:val="28"/>
        </w:rPr>
        <w:t>деятельности</w:t>
      </w:r>
      <w:r>
        <w:rPr>
          <w:rFonts w:ascii="Times New Roman" w:hAnsi="Times New Roman"/>
          <w:sz w:val="28"/>
        </w:rPr>
        <w:t xml:space="preserve">  в отчетный период 2023 год</w:t>
      </w:r>
      <w:r>
        <w:rPr>
          <w:rFonts w:ascii="Times New Roman" w:hAnsi="Times New Roman"/>
          <w:color w:val="000000"/>
          <w:spacing w:val="0"/>
          <w:sz w:val="28"/>
        </w:rPr>
        <w:t>а</w:t>
      </w:r>
      <w:r>
        <w:rPr>
          <w:rFonts w:ascii="Times New Roman" w:hAnsi="Times New Roman"/>
          <w:sz w:val="28"/>
        </w:rPr>
        <w:t xml:space="preserve"> плановые проверки индивидуальных предпринимателей - частных детективов </w:t>
      </w:r>
      <w:r>
        <w:rPr>
          <w:rFonts w:ascii="Times New Roman" w:hAnsi="Times New Roman"/>
          <w:color w:val="000000"/>
          <w:spacing w:val="0"/>
          <w:sz w:val="28"/>
        </w:rPr>
        <w:t>не проводились, проведено 2 внеплановые проверки.</w:t>
      </w:r>
      <w:r>
        <w:rPr>
          <w:rFonts w:ascii="Times New Roman" w:hAnsi="Times New Roman"/>
          <w:sz w:val="28"/>
        </w:rPr>
        <w:t xml:space="preserve"> Нарушений законодательства в сфере частной детективной деятельности не </w:t>
      </w:r>
      <w:r>
        <w:rPr>
          <w:rFonts w:ascii="Times New Roman" w:hAnsi="Times New Roman"/>
          <w:color w:val="000000"/>
          <w:spacing w:val="0"/>
          <w:sz w:val="28"/>
        </w:rPr>
        <w:t>выявлено</w:t>
      </w:r>
      <w:r>
        <w:rPr>
          <w:rFonts w:ascii="Times New Roman" w:hAnsi="Times New Roman"/>
          <w:sz w:val="28"/>
        </w:rPr>
        <w:t xml:space="preserve">. Решения о прекращении действия лицензии на осуществление частной </w:t>
      </w:r>
      <w:r>
        <w:rPr>
          <w:rFonts w:ascii="Times New Roman" w:hAnsi="Times New Roman"/>
          <w:color w:val="000000"/>
          <w:spacing w:val="0"/>
          <w:sz w:val="28"/>
        </w:rPr>
        <w:t xml:space="preserve">детективной </w:t>
      </w:r>
      <w:r>
        <w:rPr>
          <w:rFonts w:ascii="Times New Roman" w:hAnsi="Times New Roman"/>
          <w:sz w:val="28"/>
        </w:rPr>
        <w:t>деятельности не при</w:t>
      </w:r>
      <w:r>
        <w:rPr>
          <w:rFonts w:ascii="Times New Roman" w:hAnsi="Times New Roman"/>
          <w:color w:val="000000"/>
          <w:spacing w:val="0"/>
          <w:sz w:val="28"/>
        </w:rPr>
        <w:t>нимались</w:t>
      </w:r>
      <w:r>
        <w:rPr>
          <w:rFonts w:ascii="Times New Roman" w:hAnsi="Times New Roman"/>
          <w:sz w:val="28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8"/>
        </w:rPr>
        <w:t xml:space="preserve">В рамках осуществления </w:t>
      </w:r>
      <w:r>
        <w:rPr>
          <w:rFonts w:ascii="Times New Roman" w:hAnsi="Times New Roman"/>
          <w:b/>
          <w:i/>
          <w:sz w:val="28"/>
        </w:rPr>
        <w:t>федерального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государственного контроля за соблюдением законодательства в сфере оборота оружия</w:t>
      </w:r>
      <w:r>
        <w:rPr>
          <w:rFonts w:ascii="Times New Roman" w:hAnsi="Times New Roman"/>
          <w:sz w:val="28"/>
        </w:rPr>
        <w:t xml:space="preserve"> в 202</w:t>
      </w:r>
      <w:r>
        <w:rPr>
          <w:rFonts w:ascii="Times New Roman" w:hAnsi="Times New Roman"/>
          <w:color w:val="000000"/>
          <w:spacing w:val="0"/>
          <w:sz w:val="28"/>
        </w:rPr>
        <w:t>3</w:t>
      </w:r>
      <w:r>
        <w:rPr>
          <w:rFonts w:ascii="Times New Roman" w:hAnsi="Times New Roman"/>
          <w:sz w:val="28"/>
        </w:rPr>
        <w:t xml:space="preserve"> году  планов</w:t>
      </w:r>
      <w:r>
        <w:rPr>
          <w:rFonts w:ascii="Times New Roman" w:hAnsi="Times New Roman"/>
          <w:color w:val="000000"/>
          <w:spacing w:val="0"/>
          <w:sz w:val="28"/>
        </w:rPr>
        <w:t>ые</w:t>
      </w:r>
      <w:r>
        <w:rPr>
          <w:rFonts w:ascii="Times New Roman" w:hAnsi="Times New Roman"/>
          <w:sz w:val="28"/>
        </w:rPr>
        <w:t xml:space="preserve"> выездн</w:t>
      </w:r>
      <w:r>
        <w:rPr>
          <w:rFonts w:ascii="Times New Roman" w:hAnsi="Times New Roman"/>
          <w:color w:val="000000"/>
          <w:spacing w:val="0"/>
          <w:sz w:val="28"/>
        </w:rPr>
        <w:t>ые</w:t>
      </w:r>
      <w:r>
        <w:rPr>
          <w:rFonts w:ascii="Times New Roman" w:hAnsi="Times New Roman"/>
          <w:sz w:val="28"/>
        </w:rPr>
        <w:t xml:space="preserve"> проверк</w:t>
      </w:r>
      <w:r>
        <w:rPr>
          <w:rFonts w:ascii="Times New Roman" w:hAnsi="Times New Roman"/>
          <w:color w:val="000000"/>
          <w:spacing w:val="0"/>
          <w:sz w:val="28"/>
        </w:rPr>
        <w:t>и</w:t>
      </w:r>
      <w:r>
        <w:rPr>
          <w:rFonts w:ascii="Times New Roman" w:hAnsi="Times New Roman"/>
          <w:sz w:val="28"/>
        </w:rPr>
        <w:t xml:space="preserve"> юридическ</w:t>
      </w:r>
      <w:r>
        <w:rPr>
          <w:rFonts w:ascii="Times New Roman" w:hAnsi="Times New Roman"/>
          <w:color w:val="000000"/>
          <w:spacing w:val="0"/>
          <w:sz w:val="28"/>
        </w:rPr>
        <w:t>их</w:t>
      </w:r>
      <w:r>
        <w:rPr>
          <w:rFonts w:ascii="Times New Roman" w:hAnsi="Times New Roman"/>
          <w:sz w:val="28"/>
        </w:rPr>
        <w:t xml:space="preserve"> лиц имеющ</w:t>
      </w:r>
      <w:r>
        <w:rPr>
          <w:rFonts w:ascii="Times New Roman" w:hAnsi="Times New Roman"/>
          <w:color w:val="000000"/>
          <w:spacing w:val="0"/>
          <w:sz w:val="28"/>
        </w:rPr>
        <w:t>их</w:t>
      </w:r>
      <w:r>
        <w:rPr>
          <w:rFonts w:ascii="Times New Roman" w:hAnsi="Times New Roman"/>
          <w:sz w:val="28"/>
        </w:rPr>
        <w:t xml:space="preserve"> лицензию на торговлю оружием и патронами к нему не проводились.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pacing w:val="0"/>
          <w:sz w:val="28"/>
        </w:rPr>
        <w:t>Основания и результаты проведения проверок в 2023 году в судах не оспаривались.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0"/>
          <w:sz w:val="28"/>
        </w:rPr>
      </w:pPr>
      <w:r>
        <w:rPr>
          <w:rFonts w:ascii="Times New Roman" w:hAnsi="Times New Roman"/>
          <w:color w:val="000000"/>
          <w:spacing w:val="0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/>
          <w:bCs/>
          <w:i/>
          <w:iCs/>
          <w:color w:val="000000"/>
          <w:spacing w:val="0"/>
          <w:sz w:val="28"/>
        </w:rPr>
        <w:t xml:space="preserve">В рамках осуществления </w:t>
      </w:r>
      <w:r>
        <w:rPr>
          <w:rFonts w:ascii="Times New Roman" w:hAnsi="Times New Roman"/>
          <w:b/>
          <w:i/>
          <w:color w:val="000000"/>
          <w:spacing w:val="0"/>
          <w:sz w:val="28"/>
        </w:rPr>
        <w:t>федерального государственного контроля (надзора) за обеспечением безопасности объектов топливно-энергетического комплекса (далее — ТЭК).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В соответствии с планом проведения плановых проверок объектов ТЭК Управлением Росгвардии по Калининградской области 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>в 1 полугодии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2023 года осуществлено 9 плановых проверок объектов ТЭК, принадлежащих 5 субъектам ТЭК, в том числе 1 проверка объекта высокой категории опасности, 4 - средней категории, 4 - низкой категории. Также сотрудниками Управления проведено 8 внеплановых проверок объектов ТЭК, принадлежащих 6 субъектам ТЭК.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>В ходе проверок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выявлено 113 нарушений обязательных требований к обеспечению безопасности и антитеррористической защищенности объектов ТЭК.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За допущенные нарушения составлено 6 протоколов об административном правонарушении, предусмотренном частью 36 статьи 19.5 КоАП РФ,  из них в отношении уполномоченных должностных лиц субъектов ТЭК — 1, в отношении юридических лиц — 5. 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Н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>аложен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о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административны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х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штраф</w:t>
      </w:r>
      <w:r>
        <w:rPr>
          <w:rFonts w:eastAsia="Tahoma" w:cs="Noto Sans Devanagari" w:ascii="Times New Roman" w:hAnsi="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ов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на сумму 115 тыс. рублей.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В 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составе комиссий проведены обследования 17 объектов ТЭК, по результатам обследований внесены рекомендации по усилению мер безопасности и антитеррористической защищенности обследуемых объектов.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>В рамках «Программы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2023 год»  предостережения о недопустимости нарушения обязательных требований не выдавались.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;Times New Roman" w:hAnsi="Times New Roman;Times New Roman"/>
          <w:b w:val="false"/>
          <w:i w:val="false"/>
          <w:color w:val="000000"/>
          <w:spacing w:val="0"/>
          <w:sz w:val="28"/>
        </w:rPr>
        <w:t>В соот</w:t>
      </w:r>
      <w:r>
        <w:rPr>
          <w:rFonts w:eastAsia="Tahoma" w:cs="Noto Sans Devanagari" w:ascii="Times New Roman;Times New Roman" w:hAnsi="Times New Roman;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ветствии План</w:t>
      </w:r>
      <w:r>
        <w:rPr>
          <w:rFonts w:eastAsia="Tahoma" w:cs="Noto Sans Devanagari" w:ascii="Times New Roman;Times New Roman" w:hAnsi="Times New Roman;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ом</w:t>
      </w:r>
      <w:r>
        <w:rPr>
          <w:rFonts w:eastAsia="Tahoma" w:cs="Noto Sans Devanagari" w:ascii="Times New Roman;Times New Roman" w:hAnsi="Times New Roman;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 xml:space="preserve"> мероприятий по профилактике нарушений на 2023 год, предусмотренного программой</w:t>
      </w:r>
      <w:r>
        <w:rPr>
          <w:rFonts w:ascii="Times New Roman;Times New Roman" w:hAnsi="Times New Roman;Times New Roman"/>
          <w:b w:val="false"/>
          <w:i w:val="false"/>
          <w:color w:val="000000"/>
          <w:spacing w:val="0"/>
          <w:sz w:val="28"/>
        </w:rPr>
        <w:t xml:space="preserve"> </w:t>
      </w:r>
      <w:r>
        <w:rPr>
          <w:rFonts w:eastAsia="Tahoma" w:cs="Noto Sans Devanagari" w:ascii="Times New Roman;Times New Roman" w:hAnsi="Times New Roman;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П</w:t>
      </w:r>
      <w:r>
        <w:rPr>
          <w:rFonts w:ascii="Times New Roman;Times New Roman" w:hAnsi="Times New Roman;Times New Roman"/>
          <w:b w:val="false"/>
          <w:i w:val="false"/>
          <w:color w:val="000000"/>
          <w:spacing w:val="0"/>
          <w:sz w:val="28"/>
        </w:rPr>
        <w:t>рограммой профилак</w:t>
      </w:r>
      <w:r>
        <w:rPr>
          <w:rFonts w:eastAsia="Tahoma" w:cs="Noto Sans Devanagari" w:ascii="Times New Roman;Times New Roman" w:hAnsi="Times New Roman;Times New Roman"/>
          <w:b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тики,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 проведено </w:t>
      </w:r>
      <w:r>
        <w:rPr>
          <w:rFonts w:eastAsia="Tahoma" w:cs="Noto Sans Devanagari" w:ascii="Times New Roman" w:hAnsi="Times New Roman"/>
          <w:b w:val="false"/>
          <w:bCs w:val="false"/>
          <w:i w:val="false"/>
          <w:color w:val="000000"/>
          <w:spacing w:val="0"/>
          <w:kern w:val="0"/>
          <w:sz w:val="28"/>
          <w:szCs w:val="20"/>
          <w:lang w:val="ru-RU" w:eastAsia="zh-CN" w:bidi="hi-IN"/>
        </w:rPr>
        <w:t>11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методически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  <w:highlight w:val="white"/>
        </w:rPr>
        <w:t>х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заняти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  <w:highlight w:val="white"/>
        </w:rPr>
        <w:t>й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(консультаци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  <w:highlight w:val="white"/>
        </w:rPr>
        <w:t>й</w:t>
      </w:r>
      <w:r>
        <w:rPr>
          <w:rFonts w:ascii="Times New Roman" w:hAnsi="Times New Roman"/>
          <w:b w:val="false"/>
          <w:i w:val="false"/>
          <w:iCs w:val="false"/>
          <w:color w:val="000000"/>
          <w:spacing w:val="0"/>
          <w:sz w:val="28"/>
        </w:rPr>
        <w:t>) с подконтрольными субъектами ТЭК по вопросам предупреждения возможных нарушений в части осуществления Управлением федерального государственного контроля (надзора)</w:t>
      </w:r>
      <w:r>
        <w:rPr>
          <w:rFonts w:ascii="Times New Roman" w:hAnsi="Times New Roman"/>
          <w:b w:val="false"/>
          <w:i w:val="false"/>
          <w:color w:val="000000"/>
          <w:spacing w:val="0"/>
          <w:sz w:val="28"/>
        </w:rPr>
        <w:t xml:space="preserve"> за обеспечением безопасности объектов ТЭК.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b/>
          <w:i/>
          <w:color w:val="000000"/>
          <w:spacing w:val="0"/>
          <w:sz w:val="28"/>
        </w:rPr>
        <w:t>В сфере контроля за деятельностью подразделений охраны юридических лиц с особыми уставными задачами и подразделений ведомственной охраны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pacing w:val="0"/>
          <w:sz w:val="28"/>
        </w:rPr>
        <w:t>В настоящее время на территории Калининградской области осуществляет деятельность 12 подразделений охраны  (6 подразделений юридических лиц с особыми уставными задачами и 6 подразделений ведомственной охраны).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color w:val="000000"/>
          <w:spacing w:val="0"/>
          <w:sz w:val="28"/>
        </w:rPr>
        <w:t xml:space="preserve">В соответствии с планом проведения плановых проверок подразделений охраны юридических лиц с особыми уставными задачами и подразделений ведомственной охраны на 2023 год,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в 1 полугодии 2023 года</w:t>
      </w:r>
      <w:r>
        <w:rPr>
          <w:rFonts w:ascii="Times New Roman" w:hAnsi="Times New Roman"/>
          <w:color w:val="000000"/>
          <w:spacing w:val="0"/>
          <w:sz w:val="28"/>
        </w:rPr>
        <w:t xml:space="preserve"> Управлением Росгвардии по Калининградской области проведено 2 плановые проверки подразделений охраны юридического лица с особыми уставными задачами и ведомственной охраны, в ходе которых выявлено 6 нарушений обязательных требований, выдано 2 обязательных к исполнению предписания об устранении выявленных нарушений, составлен 1 протокол об административном правонарушении.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П</w:t>
      </w:r>
      <w:r>
        <w:rPr>
          <w:rFonts w:ascii="Times New Roman" w:hAnsi="Times New Roman"/>
          <w:color w:val="000000"/>
          <w:spacing w:val="0"/>
          <w:sz w:val="28"/>
        </w:rPr>
        <w:t xml:space="preserve">роведена 1 внеплановая проверка подразделения ведомственной охраны, по результатам которой выявлено 1 нарушение обязательных требований, выдано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1</w:t>
      </w:r>
      <w:r>
        <w:rPr>
          <w:rFonts w:ascii="Times New Roman" w:hAnsi="Times New Roman"/>
          <w:color w:val="000000"/>
          <w:spacing w:val="0"/>
          <w:sz w:val="28"/>
        </w:rPr>
        <w:t xml:space="preserve"> обязательн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ое</w:t>
      </w:r>
      <w:r>
        <w:rPr>
          <w:rFonts w:ascii="Times New Roman" w:hAnsi="Times New Roman"/>
          <w:color w:val="000000"/>
          <w:spacing w:val="0"/>
          <w:sz w:val="28"/>
        </w:rPr>
        <w:t xml:space="preserve"> к исполнению предписани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0"/>
          <w:lang w:val="ru-RU" w:eastAsia="zh-CN" w:bidi="hi-IN"/>
        </w:rPr>
        <w:t>е</w:t>
      </w:r>
      <w:r>
        <w:rPr>
          <w:rFonts w:ascii="Times New Roman" w:hAnsi="Times New Roman"/>
          <w:color w:val="000000"/>
          <w:spacing w:val="0"/>
          <w:sz w:val="28"/>
        </w:rPr>
        <w:t xml:space="preserve"> об устранении выявленных нарушений.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sz w:val="28"/>
          <w:szCs w:val="28"/>
          <w:lang w:val="ru-RU" w:eastAsia="zh-CN" w:bidi="hi-IN"/>
        </w:rPr>
        <w:t>В рамках «Программы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2023 год» предостережения о недопустимости нарушения обязательных требований не выдавались.</w:t>
      </w:r>
    </w:p>
    <w:p>
      <w:pPr>
        <w:pStyle w:val="Normal"/>
        <w:spacing w:lineRule="auto" w:line="240" w:before="0" w:after="0"/>
        <w:ind w:left="0" w:right="0"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false"/>
          <w:color w:val="000000"/>
          <w:spacing w:val="0"/>
          <w:sz w:val="28"/>
          <w:u w:val="none"/>
        </w:rPr>
        <w:t>В ходе проведения профилактической работы в рамках реализации «Программы профилактики нарушений обязательных требований, при осуществлении федерального государственного контроля (надзора) в установленных сферах на 2023 год» п</w:t>
      </w:r>
      <w:r>
        <w:rPr>
          <w:rFonts w:ascii="Times New Roman" w:hAnsi="Times New Roman"/>
          <w:b w:val="false"/>
          <w:color w:val="000000"/>
          <w:sz w:val="28"/>
          <w:u w:val="none"/>
        </w:rPr>
        <w:t xml:space="preserve">роведено </w:t>
      </w:r>
      <w:r>
        <w:rPr>
          <w:rFonts w:ascii="Times New Roman" w:hAnsi="Times New Roman"/>
          <w:b w:val="false"/>
          <w:bCs w:val="false"/>
          <w:color w:val="000000"/>
          <w:spacing w:val="0"/>
          <w:sz w:val="28"/>
          <w:u w:val="none"/>
        </w:rPr>
        <w:t>7</w:t>
      </w:r>
      <w:r>
        <w:rPr>
          <w:rFonts w:ascii="Times New Roman" w:hAnsi="Times New Roman"/>
          <w:b w:val="false"/>
          <w:bCs w:val="false"/>
          <w:color w:val="000000"/>
          <w:sz w:val="28"/>
          <w:u w:val="none"/>
        </w:rPr>
        <w:t xml:space="preserve"> </w:t>
      </w:r>
      <w:r>
        <w:rPr>
          <w:rFonts w:ascii="Times New Roman" w:hAnsi="Times New Roman"/>
          <w:b w:val="false"/>
          <w:color w:val="000000"/>
          <w:sz w:val="28"/>
          <w:u w:val="none"/>
        </w:rPr>
        <w:t>консультаци</w:t>
      </w:r>
      <w:r>
        <w:rPr>
          <w:rFonts w:ascii="Times New Roman" w:hAnsi="Times New Roman"/>
          <w:b w:val="false"/>
          <w:color w:val="000000"/>
          <w:spacing w:val="0"/>
          <w:sz w:val="28"/>
          <w:u w:val="none"/>
        </w:rPr>
        <w:t>й</w:t>
      </w:r>
      <w:r>
        <w:rPr>
          <w:rFonts w:ascii="Times New Roman" w:hAnsi="Times New Roman"/>
          <w:b w:val="false"/>
          <w:color w:val="000000"/>
          <w:sz w:val="28"/>
          <w:u w:val="none"/>
        </w:rPr>
        <w:t xml:space="preserve"> с представителями подразделений охраны юридических лиц с особыми уставными задачами и ведомственной охраны по вопросам разъяснения обязательных требований законодательства Росссийской Федерации. 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Перечень наиболее часто встречающихся нарушений обязательных требований выявленных в ходе осуществления федерального государственного контроля в установленных сферах деятельности: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>При проведении проверок частных охранных организаций в 1 полугодии 202</w:t>
      </w:r>
      <w:r>
        <w:rPr>
          <w:rFonts w:ascii="Times New Roman" w:hAnsi="Times New Roman"/>
          <w:color w:val="000000"/>
          <w:spacing w:val="0"/>
          <w:sz w:val="28"/>
          <w:u w:val="single"/>
        </w:rPr>
        <w:t>3</w:t>
      </w:r>
      <w:r>
        <w:rPr>
          <w:rFonts w:ascii="Times New Roman" w:hAnsi="Times New Roman"/>
          <w:sz w:val="28"/>
          <w:u w:val="single"/>
        </w:rPr>
        <w:t xml:space="preserve"> год</w:t>
      </w:r>
      <w:r>
        <w:rPr>
          <w:rFonts w:ascii="Times New Roman" w:hAnsi="Times New Roman"/>
          <w:color w:val="000000"/>
          <w:spacing w:val="0"/>
          <w:sz w:val="28"/>
          <w:u w:val="single"/>
        </w:rPr>
        <w:t>а</w:t>
      </w:r>
      <w:r>
        <w:rPr>
          <w:rFonts w:ascii="Times New Roman" w:hAnsi="Times New Roman"/>
          <w:sz w:val="28"/>
          <w:u w:val="single"/>
        </w:rPr>
        <w:t>, типичны</w:t>
      </w:r>
      <w:r>
        <w:rPr>
          <w:rFonts w:ascii="Times New Roman" w:hAnsi="Times New Roman"/>
          <w:color w:val="000000"/>
          <w:spacing w:val="0"/>
          <w:sz w:val="28"/>
          <w:u w:val="single"/>
        </w:rPr>
        <w:t>е</w:t>
      </w:r>
      <w:r>
        <w:rPr>
          <w:rFonts w:ascii="Times New Roman" w:hAnsi="Times New Roman"/>
          <w:sz w:val="28"/>
          <w:u w:val="single"/>
        </w:rPr>
        <w:t xml:space="preserve"> нарушения остаются неизменными: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Нарушение ст. 12 Закона РФ «О частной детективной и охранной деятельности в Российской Федерации» от 11.03.1992 № 2487-I (далее - Закон РФ от 11.03.1992 № 2487-I), в части привлечения к оказанию охранных услуг частных охранников без оформления в подразделениях </w:t>
      </w:r>
      <w:r>
        <w:rPr>
          <w:rFonts w:ascii="Times New Roman" w:hAnsi="Times New Roman"/>
          <w:color w:val="000000"/>
          <w:spacing w:val="0"/>
          <w:sz w:val="28"/>
        </w:rPr>
        <w:t xml:space="preserve">лицензионно разрешительной работы </w:t>
      </w:r>
      <w:r>
        <w:rPr>
          <w:rFonts w:ascii="Times New Roman" w:hAnsi="Times New Roman"/>
          <w:sz w:val="28"/>
        </w:rPr>
        <w:t>личных карточек охранника, а также не представление руководителями ЧОО в лицензирующий орган медицинских комиссий на работников.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Нарушение требований ч. 1 ст. 9, ч. 4 ст. 12 Закона РФ от 11.03.1992  № 2487-I, в части нарушения требований к договорам об оказании охранных услуг, а именно несоответствие видов оказания охранных услуг ст. 3 Закона РФ от 11.03.1992 года № 2487-I.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Нарушение требований ч. 3 ст. 16 Закона РФ от 11.03.1992                     № 2487-I, в части осуществление охраны сотрудниками ЧОО не прошедшими периодическую проверку.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Нарушение требований ч. 2 ст. 12.1 Закона РФ от 11.03.1992 года</w:t>
        <w:br/>
        <w:t>№ 2487-I в части н</w:t>
      </w:r>
      <w:r>
        <w:rPr>
          <w:rFonts w:ascii="Times New Roman" w:hAnsi="Times New Roman"/>
          <w:color w:val="000000"/>
          <w:spacing w:val="0"/>
          <w:sz w:val="28"/>
        </w:rPr>
        <w:t xml:space="preserve">есоответствия </w:t>
      </w:r>
      <w:r>
        <w:rPr>
          <w:rFonts w:ascii="Times New Roman" w:hAnsi="Times New Roman"/>
          <w:sz w:val="28"/>
        </w:rPr>
        <w:t>должностн</w:t>
      </w:r>
      <w:r>
        <w:rPr>
          <w:rFonts w:ascii="Times New Roman" w:hAnsi="Times New Roman"/>
          <w:color w:val="000000"/>
          <w:spacing w:val="0"/>
          <w:sz w:val="28"/>
        </w:rPr>
        <w:t>ой</w:t>
      </w:r>
      <w:r>
        <w:rPr>
          <w:rFonts w:ascii="Times New Roman" w:hAnsi="Times New Roman"/>
          <w:sz w:val="28"/>
        </w:rPr>
        <w:t xml:space="preserve"> инструкции частного охранника при обеспечении внутриобъектового и пропускного режимов, типовым требованиям, утвержденны</w:t>
      </w:r>
      <w:r>
        <w:rPr>
          <w:rFonts w:ascii="Times New Roman" w:hAnsi="Times New Roman"/>
          <w:color w:val="000000"/>
          <w:spacing w:val="0"/>
          <w:sz w:val="28"/>
        </w:rPr>
        <w:t>х</w:t>
      </w:r>
      <w:r>
        <w:rPr>
          <w:rFonts w:ascii="Times New Roman" w:hAnsi="Times New Roman"/>
          <w:sz w:val="28"/>
        </w:rPr>
        <w:t xml:space="preserve"> приказом Росгвардии от 19.10.2020 года </w:t>
      </w:r>
      <w:r>
        <w:rPr>
          <w:rFonts w:ascii="Times New Roman" w:hAnsi="Times New Roman"/>
          <w:color w:val="000000"/>
          <w:spacing w:val="0"/>
          <w:sz w:val="28"/>
        </w:rPr>
        <w:t>№</w:t>
      </w:r>
      <w:r>
        <w:rPr>
          <w:rFonts w:ascii="Times New Roman" w:hAnsi="Times New Roman"/>
          <w:sz w:val="28"/>
        </w:rPr>
        <w:t xml:space="preserve"> 419 «Об утверждении типовых требований к должностной инструкции частного охранника на объекте охраны».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 xml:space="preserve">Типичные нарушения в </w:t>
      </w:r>
      <w:r>
        <w:rPr>
          <w:rFonts w:ascii="Times New Roman" w:hAnsi="Times New Roman"/>
          <w:color w:val="000000"/>
          <w:spacing w:val="0"/>
          <w:sz w:val="28"/>
          <w:u w:val="single"/>
        </w:rPr>
        <w:t>сфере</w:t>
      </w:r>
      <w:r>
        <w:rPr>
          <w:rFonts w:ascii="Times New Roman" w:hAnsi="Times New Roman"/>
          <w:sz w:val="28"/>
          <w:u w:val="single"/>
        </w:rPr>
        <w:t xml:space="preserve"> частной детективной деятельности:</w:t>
      </w:r>
      <w:r>
        <w:rPr>
          <w:rFonts w:ascii="Times New Roman" w:hAnsi="Times New Roman"/>
          <w:sz w:val="28"/>
        </w:rPr>
        <w:t xml:space="preserve"> отсутствуют.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 xml:space="preserve">Типичные нарушения в области оборота оружия </w:t>
      </w:r>
      <w:r>
        <w:rPr>
          <w:rFonts w:ascii="Times New Roman" w:hAnsi="Times New Roman"/>
          <w:sz w:val="28"/>
          <w:u w:val="none"/>
        </w:rPr>
        <w:t>отсутствуют.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Типичными нарушениями в сфере обеспечения безопасности объектов топливно-энергетического комплекса</w:t>
      </w:r>
      <w:r>
        <w:rPr>
          <w:rFonts w:ascii="Times New Roman" w:hAnsi="Times New Roman"/>
          <w:sz w:val="28"/>
          <w:szCs w:val="28"/>
        </w:rPr>
        <w:t xml:space="preserve"> в 2023 году, как правило, являются отсутствие или несоответствие основного ограждения объектов, системы видеонаблюдения, инженерно-технических средств охраны, отсутствие физической охраны, отсутствие у сотрудников охраны служебного или гражданского оружия, и другие нарушения.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Управление Росгвардии по Калининградской области</w:t>
      </w:r>
    </w:p>
    <w:p>
      <w:pPr>
        <w:pStyle w:val="Normal"/>
        <w:spacing w:before="0" w:after="200"/>
        <w:rPr>
          <w:rFonts w:ascii="Times New Roman" w:hAnsi="Times New Roman"/>
          <w:sz w:val="28"/>
        </w:rPr>
      </w:pPr>
      <w:r>
        <w:rPr/>
      </w:r>
    </w:p>
    <w:sectPr>
      <w:headerReference w:type="default" r:id="rId2"/>
      <w:headerReference w:type="first" r:id="rId3"/>
      <w:type w:val="nextPage"/>
      <w:pgSz w:w="11906" w:h="16838"/>
      <w:pgMar w:left="1701" w:right="1134" w:header="1134" w:top="1648" w:footer="0" w:bottom="1134" w:gutter="0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PT Astra Serif">
    <w:charset w:val="01"/>
    <w:family w:val="swiss"/>
    <w:pitch w:val="default"/>
  </w:font>
  <w:font w:name="Times New Roman">
    <w:charset w:val="01"/>
    <w:family w:val="swiss"/>
    <w:pitch w:val="default"/>
  </w:font>
  <w:font w:name="Times New Roman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  <w:r>
      <mc:AlternateContent>
        <mc:Choice Requires="wps">
          <w:drawing>
            <wp:anchor behindDoc="0" distT="0" distB="0" distL="0" distR="0" simplePos="0" locked="0" layoutInCell="1" allowOverlap="1" relativeHeight="4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1755" cy="170815"/>
              <wp:effectExtent l="0" t="0" r="0" b="0"/>
              <wp:wrapSquare wrapText="largest"/>
              <wp:docPr id="1" name="Врезка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755" cy="17081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Normal"/>
                            <w:pBdr/>
                            <w:spacing w:before="0" w:after="200"/>
                            <w:rPr/>
                          </w:pPr>
                          <w:r>
                            <w:rPr/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4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anchor="t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65pt;height:13.45pt;mso-wrap-distance-left:0pt;mso-wrap-distance-right:0pt;mso-wrap-distance-top:0pt;mso-wrap-distance-bottom:0pt;margin-top:0.05pt;mso-position-vertical-relative:text;margin-left:223.95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Normal"/>
                      <w:pBdr/>
                      <w:spacing w:before="0" w:after="200"/>
                      <w:rPr/>
                    </w:pPr>
                    <w:r>
                      <w:rPr/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4</w:t>
                    </w:r>
                    <w:r>
                      <w:rPr/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bidi w:val="0"/>
      <w:spacing w:lineRule="auto" w:line="276" w:before="0" w:after="200"/>
      <w:ind w:left="0" w:right="0" w:hanging="0"/>
      <w:jc w:val="left"/>
    </w:pPr>
    <w:rPr>
      <w:rFonts w:ascii="Calibri" w:hAnsi="Calibri" w:asciiTheme="minorAscii" w:hAnsiTheme="minorHAns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basedOn w:val="Normal"/>
    <w:next w:val="Normal"/>
    <w:link w:val="Style_30_ch"/>
    <w:uiPriority w:val="9"/>
    <w:qFormat/>
    <w:pPr>
      <w:widowControl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next w:val="Normal"/>
    <w:link w:val="Style_53_ch"/>
    <w:uiPriority w:val="9"/>
    <w:qFormat/>
    <w:pPr>
      <w:widowControl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next w:val="Normal"/>
    <w:link w:val="Style_13_ch"/>
    <w:uiPriority w:val="9"/>
    <w:qFormat/>
    <w:pPr>
      <w:widowControl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next w:val="Normal"/>
    <w:link w:val="Style_51_ch"/>
    <w:uiPriority w:val="9"/>
    <w:qFormat/>
    <w:pPr>
      <w:widowControl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Normal"/>
    <w:link w:val="Style_4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47"/>
    <w:qFormat/>
    <w:rPr/>
  </w:style>
  <w:style w:type="character" w:styleId="Heading3">
    <w:name w:val="Heading 3"/>
    <w:link w:val="Style_13"/>
    <w:qFormat/>
    <w:rPr>
      <w:rFonts w:ascii="XO Thames" w:hAnsi="XO Thames"/>
      <w:b/>
      <w:i/>
      <w:color w:val="000000"/>
    </w:rPr>
  </w:style>
  <w:style w:type="character" w:styleId="FootnoteCharacters">
    <w:name w:val="Footnote Characters"/>
    <w:link w:val="Style_19"/>
    <w:qFormat/>
    <w:rPr>
      <w:vertAlign w:val="superscript"/>
    </w:rPr>
  </w:style>
  <w:style w:type="character" w:styleId="Contents4">
    <w:name w:val="Contents 4"/>
    <w:link w:val="Style_26"/>
    <w:qFormat/>
    <w:rPr/>
  </w:style>
  <w:style w:type="character" w:styleId="Heading1">
    <w:name w:val="Heading 1"/>
    <w:link w:val="Style_30"/>
    <w:qFormat/>
    <w:rPr>
      <w:rFonts w:ascii="XO Thames" w:hAnsi="XO Thames"/>
      <w:b/>
      <w:sz w:val="32"/>
    </w:rPr>
  </w:style>
  <w:style w:type="character" w:styleId="Contents6">
    <w:name w:val="Contents 6"/>
    <w:link w:val="Style_46"/>
    <w:qFormat/>
    <w:rPr/>
  </w:style>
  <w:style w:type="character" w:styleId="Heading2">
    <w:name w:val="Heading 2"/>
    <w:link w:val="Style_53"/>
    <w:qFormat/>
    <w:rPr>
      <w:rFonts w:ascii="XO Thames" w:hAnsi="XO Thames"/>
      <w:b/>
      <w:color w:val="00A0FF"/>
      <w:sz w:val="26"/>
    </w:rPr>
  </w:style>
  <w:style w:type="character" w:styleId="Contents7">
    <w:name w:val="Contents 7"/>
    <w:link w:val="Style_16"/>
    <w:qFormat/>
    <w:rPr/>
  </w:style>
  <w:style w:type="character" w:styleId="Style9">
    <w:name w:val="Указатель"/>
    <w:link w:val="Style_11"/>
    <w:qFormat/>
    <w:rPr>
      <w:rFonts w:ascii="PT Astra Serif" w:hAnsi="PT Astra Serif"/>
    </w:rPr>
  </w:style>
  <w:style w:type="character" w:styleId="Contents3">
    <w:name w:val="Contents 3"/>
    <w:link w:val="Style_23"/>
    <w:qFormat/>
    <w:rPr/>
  </w:style>
  <w:style w:type="character" w:styleId="Contents9">
    <w:name w:val="Contents 9"/>
    <w:link w:val="Style_37"/>
    <w:qFormat/>
    <w:rPr/>
  </w:style>
  <w:style w:type="character" w:styleId="DefaultParagraphFont">
    <w:name w:val="Default Paragraph Font"/>
    <w:link w:val="Style_43"/>
    <w:qFormat/>
    <w:rPr>
      <w:rFonts w:ascii="Calibri" w:hAnsi="Calibri" w:asciiTheme="minorAscii" w:hAnsiTheme="minorHAnsi"/>
      <w:color w:val="000000"/>
      <w:spacing w:val="0"/>
      <w:sz w:val="22"/>
    </w:rPr>
  </w:style>
  <w:style w:type="character" w:styleId="Header">
    <w:name w:val="Header"/>
    <w:basedOn w:val="Style13"/>
    <w:link w:val="Style_1"/>
    <w:qFormat/>
    <w:rPr/>
  </w:style>
  <w:style w:type="character" w:styleId="Contents8">
    <w:name w:val="Contents 8"/>
    <w:link w:val="Style_41"/>
    <w:qFormat/>
    <w:rPr/>
  </w:style>
  <w:style w:type="character" w:styleId="Standard">
    <w:name w:val="Standard"/>
    <w:link w:val="Style_20"/>
    <w:qFormat/>
    <w:rPr/>
  </w:style>
  <w:style w:type="character" w:styleId="Caption">
    <w:name w:val="Caption"/>
    <w:link w:val="Style_21"/>
    <w:qFormat/>
    <w:rPr>
      <w:rFonts w:ascii="PT Astra Serif" w:hAnsi="PT Astra Serif"/>
      <w:i/>
      <w:sz w:val="24"/>
    </w:rPr>
  </w:style>
  <w:style w:type="character" w:styleId="Contents1">
    <w:name w:val="Contents 1"/>
    <w:link w:val="Style_33"/>
    <w:qFormat/>
    <w:rPr>
      <w:rFonts w:ascii="XO Thames" w:hAnsi="XO Thames"/>
      <w:b/>
    </w:rPr>
  </w:style>
  <w:style w:type="character" w:styleId="Contents5">
    <w:name w:val="Contents 5"/>
    <w:link w:val="Style_45"/>
    <w:qFormat/>
    <w:rPr/>
  </w:style>
  <w:style w:type="character" w:styleId="Style10">
    <w:name w:val="Интернет-ссылка"/>
    <w:link w:val="Style_31"/>
    <w:rPr>
      <w:rFonts w:ascii="Calibri" w:hAnsi="Calibri"/>
      <w:color w:val="0000FF"/>
      <w:spacing w:val="0"/>
      <w:sz w:val="22"/>
      <w:u w:val="single"/>
    </w:rPr>
  </w:style>
  <w:style w:type="character" w:styleId="Heading5">
    <w:name w:val="Heading 5"/>
    <w:link w:val="Style_42"/>
    <w:qFormat/>
    <w:rPr>
      <w:rFonts w:ascii="XO Thames" w:hAnsi="XO Thames"/>
      <w:b/>
      <w:color w:val="000000"/>
      <w:sz w:val="22"/>
    </w:rPr>
  </w:style>
  <w:style w:type="character" w:styleId="Footnote">
    <w:name w:val="Footnote"/>
    <w:link w:val="Style_32"/>
    <w:qFormat/>
    <w:rPr>
      <w:rFonts w:ascii="Times New Roman" w:hAnsi="Times New Roman"/>
      <w:sz w:val="20"/>
    </w:rPr>
  </w:style>
  <w:style w:type="character" w:styleId="Textbody">
    <w:name w:val="Text body"/>
    <w:link w:val="Style_29"/>
    <w:qFormat/>
    <w:rPr/>
  </w:style>
  <w:style w:type="character" w:styleId="Heading4">
    <w:name w:val="Heading 4"/>
    <w:link w:val="Style_51"/>
    <w:qFormat/>
    <w:rPr>
      <w:rFonts w:ascii="XO Thames" w:hAnsi="XO Thames"/>
      <w:b/>
      <w:color w:val="595959"/>
      <w:sz w:val="26"/>
    </w:rPr>
  </w:style>
  <w:style w:type="character" w:styleId="HeaderandFooter">
    <w:name w:val="Header and Footer"/>
    <w:link w:val="Style_35"/>
    <w:qFormat/>
    <w:rPr>
      <w:rFonts w:ascii="XO Thames" w:hAnsi="XO Thames"/>
      <w:sz w:val="20"/>
    </w:rPr>
  </w:style>
  <w:style w:type="character" w:styleId="List">
    <w:name w:val="List"/>
    <w:basedOn w:val="Textbody"/>
    <w:link w:val="Style_36"/>
    <w:qFormat/>
    <w:rPr>
      <w:rFonts w:ascii="PT Astra Serif" w:hAnsi="PT Astra Serif"/>
    </w:rPr>
  </w:style>
  <w:style w:type="character" w:styleId="Toc10">
    <w:name w:val="toc 10"/>
    <w:link w:val="Style_49"/>
    <w:qFormat/>
    <w:rPr>
      <w:rFonts w:ascii="Calibri" w:hAnsi="Calibri" w:asciiTheme="minorAscii" w:hAnsiTheme="minorHAnsi"/>
      <w:color w:val="000000"/>
      <w:spacing w:val="0"/>
      <w:sz w:val="22"/>
    </w:rPr>
  </w:style>
  <w:style w:type="character" w:styleId="Title">
    <w:name w:val="Title"/>
    <w:link w:val="Style_50"/>
    <w:qFormat/>
    <w:rPr>
      <w:rFonts w:ascii="XO Thames" w:hAnsi="XO Thames"/>
      <w:b/>
      <w:sz w:val="52"/>
    </w:rPr>
  </w:style>
  <w:style w:type="character" w:styleId="Style11">
    <w:name w:val="Привязка сноски"/>
    <w:link w:val="Style_40"/>
    <w:rPr>
      <w:vertAlign w:val="superscript"/>
    </w:rPr>
  </w:style>
  <w:style w:type="character" w:styleId="Style12">
    <w:name w:val="Заголовок"/>
    <w:link w:val="Style_44"/>
    <w:qFormat/>
    <w:rPr>
      <w:rFonts w:ascii="PT Astra Serif" w:hAnsi="PT Astra Serif"/>
      <w:sz w:val="28"/>
    </w:rPr>
  </w:style>
  <w:style w:type="character" w:styleId="Style13">
    <w:name w:val="Верхний и нижний колонтитулы"/>
    <w:link w:val="Style_17"/>
    <w:qFormat/>
    <w:rPr>
      <w:rFonts w:ascii="XO Thames" w:hAnsi="XO Thames"/>
      <w:color w:val="000000"/>
      <w:spacing w:val="0"/>
      <w:sz w:val="20"/>
    </w:rPr>
  </w:style>
  <w:style w:type="character" w:styleId="Subtitle">
    <w:name w:val="Subtitle"/>
    <w:link w:val="Style_52"/>
    <w:qFormat/>
    <w:rPr>
      <w:rFonts w:ascii="XO Thames" w:hAnsi="XO Thames"/>
      <w:i/>
      <w:color w:val="616161"/>
      <w:sz w:val="24"/>
    </w:rPr>
  </w:style>
  <w:style w:type="paragraph" w:styleId="Style14">
    <w:name w:val="Заголовок"/>
    <w:basedOn w:val="Normal"/>
    <w:next w:val="Style15"/>
    <w:link w:val="Style_44_ch"/>
    <w:qFormat/>
    <w:pPr>
      <w:keepNext w:val="true"/>
      <w:spacing w:before="240" w:after="120"/>
    </w:pPr>
    <w:rPr>
      <w:rFonts w:ascii="PT Astra Serif" w:hAnsi="PT Astra Serif"/>
      <w:sz w:val="28"/>
    </w:rPr>
  </w:style>
  <w:style w:type="paragraph" w:styleId="Style15">
    <w:name w:val="Body Text"/>
    <w:basedOn w:val="Normal"/>
    <w:link w:val="Style_29_ch"/>
    <w:pPr>
      <w:spacing w:lineRule="auto" w:line="276" w:before="0" w:after="140"/>
    </w:pPr>
    <w:rPr/>
  </w:style>
  <w:style w:type="paragraph" w:styleId="Style16">
    <w:name w:val="List"/>
    <w:basedOn w:val="Style15"/>
    <w:link w:val="Style_36_ch"/>
    <w:pPr/>
    <w:rPr>
      <w:rFonts w:ascii="PT Astra Serif" w:hAnsi="PT Astra Serif"/>
    </w:rPr>
  </w:style>
  <w:style w:type="paragraph" w:styleId="Style17">
    <w:name w:val="Caption"/>
    <w:basedOn w:val="Normal"/>
    <w:link w:val="Style_21_ch"/>
    <w:qFormat/>
    <w:pPr>
      <w:spacing w:before="120" w:after="120"/>
    </w:pPr>
    <w:rPr>
      <w:rFonts w:ascii="PT Astra Serif" w:hAnsi="PT Astra Serif"/>
      <w:i/>
      <w:sz w:val="24"/>
    </w:rPr>
  </w:style>
  <w:style w:type="paragraph" w:styleId="Style18">
    <w:name w:val="Указатель"/>
    <w:basedOn w:val="Normal"/>
    <w:link w:val="Style_11_ch"/>
    <w:qFormat/>
    <w:pPr/>
    <w:rPr>
      <w:rFonts w:ascii="PT Astra Serif" w:hAnsi="PT Astra Serif"/>
    </w:rPr>
  </w:style>
  <w:style w:type="paragraph" w:styleId="21">
    <w:name w:val="TOC 2"/>
    <w:basedOn w:val="Normal"/>
    <w:next w:val="Normal"/>
    <w:link w:val="Style_3_ch"/>
    <w:uiPriority w:val="39"/>
    <w:pPr>
      <w:widowControl/>
      <w:ind w:left="200" w:right="0" w:hanging="0"/>
      <w:jc w:val="left"/>
    </w:pPr>
    <w:rPr/>
  </w:style>
  <w:style w:type="paragraph" w:styleId="FootnoteCharacters1">
    <w:name w:val="Footnote Characters"/>
    <w:link w:val="Style_19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vertAlign w:val="superscript"/>
      <w:lang w:val="ru-RU" w:eastAsia="zh-CN" w:bidi="hi-IN"/>
    </w:rPr>
  </w:style>
  <w:style w:type="paragraph" w:styleId="41">
    <w:name w:val="TOC 4"/>
    <w:basedOn w:val="Normal"/>
    <w:next w:val="Normal"/>
    <w:link w:val="Style_6_ch"/>
    <w:uiPriority w:val="39"/>
    <w:pPr>
      <w:widowControl/>
      <w:ind w:left="600" w:right="0" w:hanging="0"/>
      <w:jc w:val="left"/>
    </w:pPr>
    <w:rPr/>
  </w:style>
  <w:style w:type="paragraph" w:styleId="6">
    <w:name w:val="TOC 6"/>
    <w:basedOn w:val="Normal"/>
    <w:next w:val="Normal"/>
    <w:link w:val="Style_8_ch"/>
    <w:uiPriority w:val="39"/>
    <w:pPr>
      <w:widowControl/>
      <w:ind w:left="1000" w:right="0" w:hanging="0"/>
      <w:jc w:val="left"/>
    </w:pPr>
    <w:rPr/>
  </w:style>
  <w:style w:type="paragraph" w:styleId="7">
    <w:name w:val="TOC 7"/>
    <w:basedOn w:val="Normal"/>
    <w:next w:val="Normal"/>
    <w:link w:val="Style_10_ch"/>
    <w:uiPriority w:val="39"/>
    <w:pPr>
      <w:widowControl/>
      <w:ind w:left="1200" w:right="0" w:hanging="0"/>
      <w:jc w:val="left"/>
    </w:pPr>
    <w:rPr/>
  </w:style>
  <w:style w:type="paragraph" w:styleId="Contents31">
    <w:name w:val="Contents 3"/>
    <w:link w:val="Style_1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Contents91">
    <w:name w:val="Contents 9"/>
    <w:link w:val="Style_1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DefaultParagraphFont1">
    <w:name w:val="Default Paragraph Font"/>
    <w:link w:val="Style_43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asciiTheme="minorAscii" w:hAnsiTheme="minorHAns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Contents71">
    <w:name w:val="Contents 7"/>
    <w:link w:val="Style_1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19">
    <w:name w:val="Верхний и нижний колонтитулы"/>
    <w:link w:val="Style_17_ch"/>
    <w:qFormat/>
    <w:pPr>
      <w:widowControl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0">
    <w:name w:val="Header"/>
    <w:basedOn w:val="Style19"/>
    <w:link w:val="Style_1_ch"/>
    <w:pPr>
      <w:tabs>
        <w:tab w:val="clear" w:pos="708"/>
        <w:tab w:val="center" w:pos="4535" w:leader="none"/>
        <w:tab w:val="right" w:pos="9071" w:leader="none"/>
      </w:tabs>
    </w:pPr>
    <w:rPr/>
  </w:style>
  <w:style w:type="paragraph" w:styleId="Contents81">
    <w:name w:val="Contents 8"/>
    <w:link w:val="Style_18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andard1">
    <w:name w:val="Standard"/>
    <w:link w:val="Style_2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Contents11">
    <w:name w:val="Contents 1"/>
    <w:link w:val="Style_2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31">
    <w:name w:val="TOC 3"/>
    <w:basedOn w:val="Normal"/>
    <w:next w:val="Normal"/>
    <w:link w:val="Style_23_ch"/>
    <w:uiPriority w:val="39"/>
    <w:pPr>
      <w:widowControl/>
      <w:ind w:left="400" w:right="0" w:hanging="0"/>
      <w:jc w:val="left"/>
    </w:pPr>
    <w:rPr/>
  </w:style>
  <w:style w:type="paragraph" w:styleId="Contents51">
    <w:name w:val="Contents 5"/>
    <w:link w:val="Style_24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1">
    <w:name w:val="Интернет-ссылка"/>
    <w:link w:val="Style_25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Contents41">
    <w:name w:val="Contents 4"/>
    <w:link w:val="Style_2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Footnote1">
    <w:name w:val="Footnote"/>
    <w:basedOn w:val="Normal"/>
    <w:link w:val="Style_32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Internetlink">
    <w:name w:val="Hyperlink"/>
    <w:link w:val="Style_31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11">
    <w:name w:val="TOC 1"/>
    <w:basedOn w:val="Normal"/>
    <w:next w:val="Normal"/>
    <w:link w:val="Style_33_ch"/>
    <w:uiPriority w:val="39"/>
    <w:pPr>
      <w:widowControl/>
      <w:ind w:left="0" w:right="0" w:hanging="0"/>
      <w:jc w:val="left"/>
    </w:pPr>
    <w:rPr>
      <w:rFonts w:ascii="XO Thames" w:hAnsi="XO Thames"/>
      <w:b/>
    </w:rPr>
  </w:style>
  <w:style w:type="paragraph" w:styleId="9">
    <w:name w:val="TOC 9"/>
    <w:basedOn w:val="Normal"/>
    <w:next w:val="Normal"/>
    <w:link w:val="Style_37_ch"/>
    <w:uiPriority w:val="39"/>
    <w:pPr>
      <w:widowControl/>
      <w:ind w:left="1600" w:right="0" w:hanging="0"/>
      <w:jc w:val="left"/>
    </w:pPr>
    <w:rPr/>
  </w:style>
  <w:style w:type="paragraph" w:styleId="Toc101">
    <w:name w:val="toc 10"/>
    <w:next w:val="Normal"/>
    <w:link w:val="Style_49_ch"/>
    <w:uiPriority w:val="39"/>
    <w:qFormat/>
    <w:pPr>
      <w:widowControl/>
      <w:bidi w:val="0"/>
      <w:spacing w:lineRule="auto" w:line="240" w:before="0" w:after="0"/>
      <w:ind w:left="1800" w:right="0" w:hanging="0"/>
      <w:jc w:val="left"/>
    </w:pPr>
    <w:rPr>
      <w:rFonts w:ascii="Calibri" w:hAnsi="Calibri" w:asciiTheme="minorAscii" w:hAnsiTheme="minorHAns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2">
    <w:name w:val="Title"/>
    <w:basedOn w:val="Normal"/>
    <w:next w:val="Normal"/>
    <w:link w:val="Style_50_ch"/>
    <w:uiPriority w:val="10"/>
    <w:qFormat/>
    <w:pPr>
      <w:widowControl/>
      <w:jc w:val="left"/>
    </w:pPr>
    <w:rPr>
      <w:rFonts w:ascii="XO Thames" w:hAnsi="XO Thames"/>
      <w:b/>
      <w:sz w:val="52"/>
    </w:rPr>
  </w:style>
  <w:style w:type="paragraph" w:styleId="Style23">
    <w:name w:val="Привязка сноски"/>
    <w:link w:val="Style_40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vertAlign w:val="superscript"/>
      <w:lang w:val="ru-RU" w:eastAsia="zh-CN" w:bidi="hi-IN"/>
    </w:rPr>
  </w:style>
  <w:style w:type="paragraph" w:styleId="8">
    <w:name w:val="TOC 8"/>
    <w:basedOn w:val="Normal"/>
    <w:next w:val="Normal"/>
    <w:link w:val="Style_41_ch"/>
    <w:uiPriority w:val="39"/>
    <w:pPr>
      <w:widowControl/>
      <w:ind w:left="1400" w:right="0" w:hanging="0"/>
      <w:jc w:val="left"/>
    </w:pPr>
    <w:rPr/>
  </w:style>
  <w:style w:type="paragraph" w:styleId="51">
    <w:name w:val="TOC 5"/>
    <w:basedOn w:val="Normal"/>
    <w:next w:val="Normal"/>
    <w:link w:val="Style_45_ch"/>
    <w:uiPriority w:val="39"/>
    <w:pPr>
      <w:widowControl/>
      <w:ind w:left="800" w:right="0" w:hanging="0"/>
      <w:jc w:val="left"/>
    </w:pPr>
    <w:rPr/>
  </w:style>
  <w:style w:type="paragraph" w:styleId="Contents61">
    <w:name w:val="Contents 6"/>
    <w:link w:val="Style_46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Contents21">
    <w:name w:val="Contents 2"/>
    <w:link w:val="Style_47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4">
    <w:name w:val="Subtitle"/>
    <w:next w:val="Normal"/>
    <w:link w:val="Style_52_ch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Style25">
    <w:name w:val="Содержимое врезки"/>
    <w:basedOn w:val="Normal"/>
    <w:qFormat/>
    <w:pPr/>
    <w:rPr/>
  </w:style>
  <w:style w:type="table" w:default="1" w:styleId="Style_54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LibreOffice/6.4.7.2$Linux_X86_64 LibreOffice_project/40$Build-2</Application>
  <Pages>4</Pages>
  <Words>1057</Words>
  <Characters>7549</Characters>
  <CharactersWithSpaces>8612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2023-08-01T10:50:47Z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Security">
    <vt:i4>0</vt:i4>
  </property>
  <property fmtid="{D5CDD505-2E9C-101B-9397-08002B2CF9AE}" pid="3" name="ScaleCrop">
    <vt:bool>0</vt:bool>
  </property>
</Properties>
</file>