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bidi w:val="0"/>
        <w:spacing w:lineRule="auto" w:line="240" w:before="0" w:after="0"/>
        <w:ind w:left="0" w:right="0" w:hanging="0"/>
        <w:jc w:val="center"/>
        <w:rPr/>
      </w:pPr>
      <w:r>
        <w:rPr>
          <w:rFonts w:ascii="Times New Roman" w:hAnsi="Times New Roman"/>
          <w:b/>
          <w:i/>
          <w:sz w:val="28"/>
        </w:rPr>
        <w:t xml:space="preserve">Анализ 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center"/>
        <w:rPr/>
      </w:pPr>
      <w:r>
        <w:rPr>
          <w:rFonts w:ascii="Times New Roman" w:hAnsi="Times New Roman"/>
          <w:b/>
          <w:i/>
          <w:sz w:val="28"/>
        </w:rPr>
        <w:t>проведённых Управлением Росгвардии по Калининградской области  мероприятий по осуществлению федерального государственного контроля за частной охранной и детективной деятельностью, в сфере оборота оружия, контроля за обеспечением безопасности объектов топливно-энергетического комплекса, а также деятельности подразделений охраны юридических лиц с особыми уставными задачами и подразделениями ведомственной охраны за</w:t>
      </w:r>
      <w:r>
        <w:rPr>
          <w:rFonts w:eastAsia="Tahoma" w:cs="Noto Sans Devanagari" w:ascii="Times New Roman" w:hAnsi="Times New Roman"/>
          <w:b/>
          <w:i/>
          <w:color w:val="000000"/>
          <w:spacing w:val="0"/>
          <w:kern w:val="0"/>
          <w:sz w:val="28"/>
          <w:szCs w:val="20"/>
          <w:lang w:val="ru-RU" w:eastAsia="zh-CN" w:bidi="hi-IN"/>
        </w:rPr>
        <w:t xml:space="preserve"> 12 месяцев </w:t>
      </w:r>
      <w:r>
        <w:rPr>
          <w:rFonts w:ascii="Times New Roman" w:hAnsi="Times New Roman"/>
          <w:b/>
          <w:i/>
          <w:sz w:val="28"/>
        </w:rPr>
        <w:t>2023 года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 территории Калининградской области зарегистрировано всего 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>131</w:t>
      </w:r>
      <w:r>
        <w:rPr>
          <w:rFonts w:ascii="Times New Roman" w:hAnsi="Times New Roman"/>
          <w:sz w:val="28"/>
          <w:szCs w:val="28"/>
        </w:rPr>
        <w:t xml:space="preserve"> юридическ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>ое</w:t>
      </w:r>
      <w:r>
        <w:rPr>
          <w:rFonts w:ascii="Times New Roman" w:hAnsi="Times New Roman"/>
          <w:sz w:val="28"/>
          <w:szCs w:val="28"/>
        </w:rPr>
        <w:t xml:space="preserve"> лицо, имеющ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>ее</w:t>
      </w:r>
      <w:r>
        <w:rPr>
          <w:rFonts w:ascii="Times New Roman" w:hAnsi="Times New Roman"/>
          <w:sz w:val="28"/>
          <w:szCs w:val="28"/>
        </w:rPr>
        <w:t xml:space="preserve"> лицензию на осуществление частн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>ой охранной деятельности (далее - ЧОО)</w:t>
      </w:r>
      <w:r>
        <w:rPr>
          <w:rFonts w:ascii="Times New Roman" w:hAnsi="Times New Roman"/>
          <w:sz w:val="28"/>
          <w:szCs w:val="28"/>
        </w:rPr>
        <w:t>, из них</w:t>
      </w:r>
      <w:r>
        <w:rPr>
          <w:rFonts w:ascii="Times New Roman" w:hAnsi="Times New Roman"/>
          <w:sz w:val="28"/>
          <w:szCs w:val="28"/>
          <w:highlight w:val="white"/>
        </w:rPr>
        <w:t xml:space="preserve">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highlight w:val="white"/>
          <w:lang w:val="ru-RU" w:eastAsia="zh-CN" w:bidi="hi-IN"/>
        </w:rPr>
        <w:t>68</w:t>
      </w:r>
      <w:r>
        <w:rPr>
          <w:rFonts w:ascii="Times New Roman" w:hAnsi="Times New Roman"/>
          <w:sz w:val="28"/>
          <w:szCs w:val="28"/>
        </w:rPr>
        <w:t xml:space="preserve"> используют в своей уставной деятельности служебное оружие, на вооружении которых состоит более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 xml:space="preserve">400 </w:t>
      </w:r>
      <w:r>
        <w:rPr>
          <w:rFonts w:ascii="Times New Roman" w:hAnsi="Times New Roman"/>
          <w:sz w:val="28"/>
          <w:szCs w:val="28"/>
        </w:rPr>
        <w:t>ед. служебного оружия.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ЧОО работают более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>6000</w:t>
      </w:r>
      <w:r>
        <w:rPr>
          <w:rFonts w:ascii="Times New Roman" w:hAnsi="Times New Roman"/>
          <w:sz w:val="28"/>
          <w:szCs w:val="28"/>
        </w:rPr>
        <w:t xml:space="preserve"> сотрудник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>ов</w:t>
      </w:r>
      <w:r>
        <w:rPr>
          <w:rFonts w:ascii="Times New Roman" w:hAnsi="Times New Roman"/>
          <w:sz w:val="28"/>
          <w:szCs w:val="28"/>
        </w:rPr>
        <w:t xml:space="preserve">, имеющих удостоверение частного охранника,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>которыми</w:t>
      </w:r>
      <w:r>
        <w:rPr>
          <w:rFonts w:ascii="Times New Roman" w:hAnsi="Times New Roman"/>
          <w:sz w:val="28"/>
          <w:szCs w:val="28"/>
        </w:rPr>
        <w:t xml:space="preserve"> обеспечивается охрана более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>24 тысяч</w:t>
      </w:r>
      <w:r>
        <w:rPr>
          <w:rFonts w:ascii="Times New Roman" w:hAnsi="Times New Roman"/>
          <w:sz w:val="28"/>
          <w:szCs w:val="28"/>
        </w:rPr>
        <w:t xml:space="preserve"> объектов различных форм собственности.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Кроме того, на территории области зарегистрировано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>6</w:t>
      </w:r>
      <w:r>
        <w:rPr>
          <w:rFonts w:ascii="Times New Roman" w:hAnsi="Times New Roman"/>
          <w:sz w:val="28"/>
          <w:szCs w:val="28"/>
        </w:rPr>
        <w:t xml:space="preserve"> частных детективов и 4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 xml:space="preserve"> </w:t>
      </w:r>
      <w:r>
        <w:rPr>
          <w:rFonts w:ascii="Times New Roman" w:hAnsi="Times New Roman"/>
          <w:sz w:val="28"/>
          <w:szCs w:val="28"/>
        </w:rPr>
        <w:t>юридических лица осуществляющих торговлю оружием.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>
          <w:highlight w:val="yellow"/>
        </w:rPr>
      </w:pPr>
      <w:r>
        <w:rPr>
          <w:rFonts w:ascii="Times New Roman" w:hAnsi="Times New Roman"/>
          <w:sz w:val="28"/>
          <w:szCs w:val="28"/>
          <w:highlight w:val="white"/>
        </w:rPr>
        <w:t xml:space="preserve">В рамках осуществления </w:t>
      </w:r>
      <w:r>
        <w:rPr>
          <w:rFonts w:ascii="Times New Roman" w:hAnsi="Times New Roman"/>
          <w:b/>
          <w:bCs/>
          <w:i/>
          <w:iCs/>
          <w:sz w:val="28"/>
          <w:szCs w:val="28"/>
          <w:highlight w:val="white"/>
        </w:rPr>
        <w:t>федерального государственного контроля за соблюдением законодательства Российской Федерации в области частной охранной деятельности</w:t>
      </w:r>
      <w:r>
        <w:rPr>
          <w:rFonts w:ascii="Times New Roman" w:hAnsi="Times New Roman"/>
          <w:sz w:val="28"/>
          <w:szCs w:val="28"/>
          <w:highlight w:val="white"/>
        </w:rPr>
        <w:t xml:space="preserve"> в 202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highlight w:val="white"/>
          <w:lang w:val="ru-RU" w:eastAsia="zh-CN" w:bidi="hi-IN"/>
        </w:rPr>
        <w:t>3</w:t>
      </w:r>
      <w:r>
        <w:rPr>
          <w:rFonts w:ascii="Times New Roman" w:hAnsi="Times New Roman"/>
          <w:sz w:val="28"/>
          <w:szCs w:val="28"/>
          <w:highlight w:val="white"/>
        </w:rPr>
        <w:t xml:space="preserve"> год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highlight w:val="white"/>
          <w:lang w:val="ru-RU" w:eastAsia="zh-CN" w:bidi="hi-IN"/>
        </w:rPr>
        <w:t>у</w:t>
      </w:r>
      <w:r>
        <w:rPr>
          <w:rFonts w:ascii="Times New Roman" w:hAnsi="Times New Roman"/>
          <w:sz w:val="28"/>
          <w:szCs w:val="28"/>
          <w:highlight w:val="white"/>
        </w:rPr>
        <w:t xml:space="preserve"> в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highlight w:val="white"/>
          <w:lang w:val="ru-RU" w:eastAsia="zh-CN" w:bidi="hi-IN"/>
        </w:rPr>
        <w:t>ЧОО</w:t>
      </w:r>
      <w:r>
        <w:rPr>
          <w:rFonts w:ascii="Times New Roman" w:hAnsi="Times New Roman"/>
          <w:sz w:val="28"/>
          <w:szCs w:val="28"/>
          <w:highlight w:val="white"/>
        </w:rPr>
        <w:t xml:space="preserve"> проведен</w:t>
      </w:r>
      <w:r>
        <w:rPr>
          <w:rFonts w:ascii="Times New Roman" w:hAnsi="Times New Roman"/>
          <w:sz w:val="28"/>
          <w:szCs w:val="28"/>
          <w:highlight w:val="white"/>
        </w:rPr>
        <w:t>а</w:t>
      </w:r>
      <w:r>
        <w:rPr>
          <w:rFonts w:ascii="Times New Roman" w:hAnsi="Times New Roman"/>
          <w:sz w:val="28"/>
          <w:szCs w:val="28"/>
          <w:highlight w:val="white"/>
        </w:rPr>
        <w:t xml:space="preserve">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highlight w:val="white"/>
          <w:lang w:val="ru-RU" w:eastAsia="zh-CN" w:bidi="hi-IN"/>
        </w:rPr>
        <w:t>81</w:t>
      </w:r>
      <w:r>
        <w:rPr>
          <w:rFonts w:ascii="Times New Roman" w:hAnsi="Times New Roman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sz w:val="28"/>
          <w:szCs w:val="28"/>
          <w:highlight w:val="white"/>
        </w:rPr>
        <w:t>провер</w:t>
      </w:r>
      <w:r>
        <w:rPr>
          <w:rFonts w:ascii="Times New Roman" w:hAnsi="Times New Roman"/>
          <w:sz w:val="28"/>
          <w:szCs w:val="28"/>
          <w:highlight w:val="white"/>
        </w:rPr>
        <w:t>ка</w:t>
      </w:r>
      <w:r>
        <w:rPr>
          <w:rFonts w:ascii="Times New Roman" w:hAnsi="Times New Roman"/>
          <w:sz w:val="28"/>
          <w:szCs w:val="28"/>
          <w:highlight w:val="white"/>
        </w:rPr>
        <w:t>,</w:t>
      </w:r>
      <w:r>
        <w:rPr>
          <w:rFonts w:ascii="Times New Roman" w:hAnsi="Times New Roman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sz w:val="28"/>
          <w:szCs w:val="28"/>
          <w:highlight w:val="white"/>
        </w:rPr>
        <w:t xml:space="preserve">в том числе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highlight w:val="white"/>
          <w:lang w:val="ru-RU" w:eastAsia="zh-CN" w:bidi="hi-IN"/>
        </w:rPr>
        <w:t>35</w:t>
      </w:r>
      <w:r>
        <w:rPr>
          <w:rFonts w:ascii="Times New Roman" w:hAnsi="Times New Roman"/>
          <w:sz w:val="28"/>
          <w:szCs w:val="28"/>
          <w:highlight w:val="white"/>
        </w:rPr>
        <w:t xml:space="preserve"> проверок в соответствии с ежегодным планом проведения плановых проверок на 2023 год.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highlight w:val="yellow"/>
        </w:rPr>
      </w:pPr>
      <w:r>
        <w:rPr>
          <w:rFonts w:ascii="Times New Roman" w:hAnsi="Times New Roman"/>
          <w:sz w:val="28"/>
          <w:szCs w:val="28"/>
          <w:highlight w:val="white"/>
        </w:rPr>
        <w:t>По результатам проверок в деятельности</w:t>
      </w:r>
      <w:r>
        <w:rPr>
          <w:rFonts w:ascii="Times New Roman" w:hAnsi="Times New Roman"/>
          <w:sz w:val="28"/>
          <w:szCs w:val="28"/>
          <w:highlight w:val="white"/>
        </w:rPr>
        <w:t xml:space="preserve">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highlight w:val="white"/>
          <w:lang w:val="ru-RU" w:eastAsia="zh-CN" w:bidi="hi-IN"/>
        </w:rPr>
        <w:t>61</w:t>
      </w:r>
      <w:r>
        <w:rPr>
          <w:rFonts w:ascii="Times New Roman" w:hAnsi="Times New Roman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sz w:val="28"/>
          <w:szCs w:val="28"/>
          <w:highlight w:val="white"/>
        </w:rPr>
        <w:t>ЧОО выявлены нарушения законодательства о частной охранной деятельности, общее количество административных протоколов -</w:t>
      </w:r>
      <w:r>
        <w:rPr>
          <w:rFonts w:ascii="Times New Roman" w:hAnsi="Times New Roman"/>
          <w:sz w:val="28"/>
          <w:szCs w:val="28"/>
          <w:highlight w:val="white"/>
        </w:rPr>
        <w:t xml:space="preserve">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highlight w:val="white"/>
          <w:lang w:val="ru-RU" w:eastAsia="zh-CN" w:bidi="hi-IN"/>
        </w:rPr>
        <w:t>61</w:t>
      </w:r>
      <w:r>
        <w:rPr>
          <w:rFonts w:ascii="Times New Roman" w:hAnsi="Times New Roman"/>
          <w:sz w:val="28"/>
          <w:szCs w:val="28"/>
          <w:highlight w:val="white"/>
        </w:rPr>
        <w:t xml:space="preserve">. </w:t>
      </w:r>
      <w:r>
        <w:rPr>
          <w:rFonts w:ascii="Times New Roman" w:hAnsi="Times New Roman"/>
          <w:sz w:val="28"/>
          <w:szCs w:val="28"/>
          <w:highlight w:val="white"/>
        </w:rPr>
        <w:t>Аннулировано удостоверений частного охранника у работников ЧОО -</w:t>
      </w:r>
      <w:r>
        <w:rPr>
          <w:rFonts w:ascii="Times New Roman" w:hAnsi="Times New Roman"/>
          <w:sz w:val="28"/>
          <w:szCs w:val="28"/>
          <w:highlight w:val="white"/>
        </w:rPr>
        <w:t xml:space="preserve">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highlight w:val="white"/>
          <w:lang w:val="ru-RU" w:eastAsia="zh-CN" w:bidi="hi-IN"/>
        </w:rPr>
        <w:t>3</w:t>
      </w:r>
      <w:r>
        <w:rPr>
          <w:rFonts w:ascii="Times New Roman" w:hAnsi="Times New Roman"/>
          <w:sz w:val="28"/>
          <w:szCs w:val="28"/>
          <w:highlight w:val="white"/>
        </w:rPr>
        <w:t xml:space="preserve">. </w:t>
      </w:r>
      <w:r>
        <w:rPr>
          <w:rFonts w:ascii="Times New Roman" w:hAnsi="Times New Roman"/>
          <w:sz w:val="28"/>
          <w:szCs w:val="28"/>
          <w:highlight w:val="white"/>
        </w:rPr>
        <w:t>Выдано</w:t>
      </w:r>
      <w:r>
        <w:rPr>
          <w:rFonts w:ascii="Times New Roman" w:hAnsi="Times New Roman"/>
          <w:sz w:val="28"/>
          <w:szCs w:val="28"/>
          <w:highlight w:val="white"/>
        </w:rPr>
        <w:t xml:space="preserve">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highlight w:val="white"/>
          <w:lang w:val="ru-RU" w:eastAsia="zh-CN" w:bidi="hi-IN"/>
        </w:rPr>
        <w:t>35</w:t>
      </w:r>
      <w:r>
        <w:rPr>
          <w:rFonts w:ascii="Times New Roman" w:hAnsi="Times New Roman"/>
          <w:sz w:val="28"/>
          <w:szCs w:val="28"/>
          <w:highlight w:val="yellow"/>
        </w:rPr>
        <w:t xml:space="preserve"> </w:t>
      </w:r>
      <w:r>
        <w:rPr>
          <w:rFonts w:ascii="Times New Roman" w:hAnsi="Times New Roman"/>
          <w:sz w:val="28"/>
          <w:szCs w:val="28"/>
          <w:highlight w:val="white"/>
        </w:rPr>
        <w:t>предписани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highlight w:val="white"/>
          <w:lang w:val="ru-RU" w:eastAsia="zh-CN" w:bidi="hi-IN"/>
        </w:rPr>
        <w:t>й</w:t>
      </w:r>
      <w:r>
        <w:rPr>
          <w:rFonts w:ascii="Times New Roman" w:hAnsi="Times New Roman"/>
          <w:sz w:val="28"/>
          <w:szCs w:val="28"/>
          <w:highlight w:val="white"/>
        </w:rPr>
        <w:t xml:space="preserve"> об устранении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highlight w:val="white"/>
          <w:lang w:val="ru-RU" w:eastAsia="zh-CN" w:bidi="hi-IN"/>
        </w:rPr>
        <w:t xml:space="preserve">нарушений обязательных </w:t>
      </w:r>
      <w:r>
        <w:rPr>
          <w:rFonts w:ascii="Times New Roman" w:hAnsi="Times New Roman"/>
          <w:sz w:val="28"/>
          <w:szCs w:val="28"/>
          <w:highlight w:val="white"/>
        </w:rPr>
        <w:t>требований. Основани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highlight w:val="white"/>
          <w:lang w:val="ru-RU" w:eastAsia="zh-CN" w:bidi="hi-IN"/>
        </w:rPr>
        <w:t>я</w:t>
      </w:r>
      <w:r>
        <w:rPr>
          <w:rFonts w:ascii="Times New Roman" w:hAnsi="Times New Roman"/>
          <w:sz w:val="28"/>
          <w:szCs w:val="28"/>
          <w:highlight w:val="white"/>
        </w:rPr>
        <w:t xml:space="preserve"> и результат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highlight w:val="white"/>
          <w:lang w:val="ru-RU" w:eastAsia="zh-CN" w:bidi="hi-IN"/>
        </w:rPr>
        <w:t>ы</w:t>
      </w:r>
      <w:r>
        <w:rPr>
          <w:rFonts w:ascii="Times New Roman" w:hAnsi="Times New Roman"/>
          <w:sz w:val="28"/>
          <w:szCs w:val="28"/>
          <w:highlight w:val="white"/>
        </w:rPr>
        <w:t xml:space="preserve"> проведения провер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highlight w:val="white"/>
          <w:lang w:val="ru-RU" w:eastAsia="zh-CN" w:bidi="hi-IN"/>
        </w:rPr>
        <w:t>ок</w:t>
      </w:r>
      <w:r>
        <w:rPr>
          <w:rFonts w:ascii="Times New Roman" w:hAnsi="Times New Roman"/>
          <w:sz w:val="28"/>
          <w:szCs w:val="28"/>
          <w:highlight w:val="white"/>
        </w:rPr>
        <w:t xml:space="preserve"> в 2023 году в судах не оспаривались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highlight w:val="white"/>
          <w:lang w:val="ru-RU" w:eastAsia="zh-CN" w:bidi="hi-IN"/>
        </w:rPr>
        <w:t>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Theme="minorAscii" w:hAnsiTheme="minorHAnsi"/>
          <w:highlight w:val="white"/>
        </w:rPr>
      </w:pPr>
      <w:r>
        <w:rPr>
          <w:rFonts w:asciiTheme="minorAscii" w:hAnsiTheme="minorHAnsi" w:ascii="Times New Roman" w:hAnsi="Times New Roman"/>
          <w:sz w:val="28"/>
          <w:szCs w:val="28"/>
          <w:highlight w:val="white"/>
        </w:rPr>
        <w:t>За отчётный период фактов утраты и хищения служебного оружия на территории области не допущено.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highlight w:val="yellow"/>
        </w:rPr>
      </w:pPr>
      <w:r>
        <w:rPr>
          <w:rFonts w:ascii="Times New Roman" w:hAnsi="Times New Roman"/>
          <w:sz w:val="28"/>
          <w:szCs w:val="28"/>
          <w:highlight w:val="white"/>
        </w:rPr>
        <w:t>В 2023 год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highlight w:val="white"/>
          <w:lang w:val="ru-RU" w:eastAsia="zh-CN" w:bidi="hi-IN"/>
        </w:rPr>
        <w:t>у</w:t>
      </w:r>
      <w:r>
        <w:rPr>
          <w:rFonts w:ascii="Times New Roman" w:hAnsi="Times New Roman"/>
          <w:sz w:val="28"/>
          <w:szCs w:val="28"/>
          <w:highlight w:val="white"/>
        </w:rPr>
        <w:t xml:space="preserve"> Центром лицензионно-разрешительной работы Управления Росгвардии по Калининградской области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highlight w:val="white"/>
          <w:lang w:val="ru-RU" w:eastAsia="zh-CN" w:bidi="hi-IN"/>
        </w:rPr>
        <w:t xml:space="preserve">в отношении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highlight w:val="white"/>
          <w:lang w:val="ru-RU" w:eastAsia="zh-CN" w:bidi="hi-IN"/>
        </w:rPr>
        <w:t>9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highlight w:val="yellow"/>
          <w:lang w:val="ru-RU" w:eastAsia="zh-CN" w:bidi="hi-IN"/>
        </w:rPr>
        <w:t xml:space="preserve">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highlight w:val="white"/>
          <w:lang w:val="ru-RU" w:eastAsia="zh-CN" w:bidi="hi-IN"/>
        </w:rPr>
        <w:t xml:space="preserve">юридических лиц (ЧОО) </w:t>
      </w:r>
      <w:r>
        <w:rPr>
          <w:rFonts w:ascii="Times New Roman" w:hAnsi="Times New Roman"/>
          <w:sz w:val="28"/>
          <w:szCs w:val="28"/>
          <w:highlight w:val="white"/>
        </w:rPr>
        <w:t>приняты решения о прекращении действия лицензии на осуществление частной охранной деятельности.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8"/>
          <w:szCs w:val="28"/>
          <w:highlight w:val="yellow"/>
        </w:rPr>
      </w:pPr>
      <w:r>
        <w:rPr>
          <w:rFonts w:ascii="Times New Roman" w:hAnsi="Times New Roman"/>
          <w:sz w:val="28"/>
          <w:szCs w:val="28"/>
          <w:highlight w:val="yellow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sz w:val="28"/>
          <w:szCs w:val="28"/>
          <w:highlight w:val="white"/>
        </w:rPr>
        <w:t xml:space="preserve">В рамках осуществления </w:t>
      </w:r>
      <w:r>
        <w:rPr>
          <w:rFonts w:ascii="Times New Roman" w:hAnsi="Times New Roman"/>
          <w:b/>
          <w:bCs/>
          <w:i/>
          <w:iCs/>
          <w:sz w:val="28"/>
          <w:szCs w:val="28"/>
          <w:highlight w:val="white"/>
        </w:rPr>
        <w:t xml:space="preserve">федерального государственного контроля за соблюдением законодательства в области частной </w:t>
      </w:r>
      <w:r>
        <w:rPr>
          <w:rFonts w:eastAsia="Tahoma" w:cs="Noto Sans Devanagari" w:ascii="Times New Roman" w:hAnsi="Times New Roman"/>
          <w:b/>
          <w:bCs/>
          <w:i/>
          <w:iCs/>
          <w:color w:val="000000"/>
          <w:spacing w:val="0"/>
          <w:kern w:val="0"/>
          <w:sz w:val="28"/>
          <w:szCs w:val="28"/>
          <w:highlight w:val="white"/>
          <w:lang w:val="ru-RU" w:eastAsia="zh-CN" w:bidi="hi-IN"/>
        </w:rPr>
        <w:t xml:space="preserve">детективной </w:t>
      </w:r>
      <w:r>
        <w:rPr>
          <w:rFonts w:ascii="Times New Roman" w:hAnsi="Times New Roman"/>
          <w:b/>
          <w:bCs/>
          <w:i/>
          <w:iCs/>
          <w:sz w:val="28"/>
          <w:szCs w:val="28"/>
          <w:highlight w:val="white"/>
        </w:rPr>
        <w:t>деятельности</w:t>
      </w:r>
      <w:r>
        <w:rPr>
          <w:rFonts w:ascii="Times New Roman" w:hAnsi="Times New Roman"/>
          <w:sz w:val="28"/>
          <w:szCs w:val="28"/>
          <w:highlight w:val="white"/>
        </w:rPr>
        <w:t xml:space="preserve">  в 2023 год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highlight w:val="white"/>
          <w:lang w:val="ru-RU" w:eastAsia="zh-CN" w:bidi="hi-IN"/>
        </w:rPr>
        <w:t>у</w:t>
      </w:r>
      <w:r>
        <w:rPr>
          <w:rFonts w:ascii="Times New Roman" w:hAnsi="Times New Roman"/>
          <w:sz w:val="28"/>
          <w:szCs w:val="28"/>
          <w:highlight w:val="white"/>
        </w:rPr>
        <w:t xml:space="preserve"> плановые проверки индивидуальных предпринимателей - частных детективов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highlight w:val="white"/>
          <w:lang w:val="ru-RU" w:eastAsia="zh-CN" w:bidi="hi-IN"/>
        </w:rPr>
        <w:t>не проводились, проведено 2 внеплановые проверки.</w:t>
      </w:r>
      <w:r>
        <w:rPr>
          <w:rFonts w:ascii="Times New Roman" w:hAnsi="Times New Roman"/>
          <w:sz w:val="28"/>
          <w:szCs w:val="28"/>
          <w:highlight w:val="white"/>
        </w:rPr>
        <w:t xml:space="preserve"> Нарушений законодательства в сфере частной детективной деятельности не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highlight w:val="white"/>
          <w:lang w:val="ru-RU" w:eastAsia="zh-CN" w:bidi="hi-IN"/>
        </w:rPr>
        <w:t>выявлено</w:t>
      </w:r>
      <w:r>
        <w:rPr>
          <w:rFonts w:ascii="Times New Roman" w:hAnsi="Times New Roman"/>
          <w:sz w:val="28"/>
          <w:szCs w:val="28"/>
          <w:highlight w:val="white"/>
        </w:rPr>
        <w:t xml:space="preserve">. Решения о прекращении действия лицензии на осуществление частной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highlight w:val="white"/>
          <w:lang w:val="ru-RU" w:eastAsia="zh-CN" w:bidi="hi-IN"/>
        </w:rPr>
        <w:t xml:space="preserve">детективной </w:t>
      </w:r>
      <w:r>
        <w:rPr>
          <w:rFonts w:ascii="Times New Roman" w:hAnsi="Times New Roman"/>
          <w:sz w:val="28"/>
          <w:szCs w:val="28"/>
          <w:highlight w:val="white"/>
        </w:rPr>
        <w:t>деятельности не при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highlight w:val="white"/>
          <w:lang w:val="ru-RU" w:eastAsia="zh-CN" w:bidi="hi-IN"/>
        </w:rPr>
        <w:t>нимались</w:t>
      </w:r>
      <w:r>
        <w:rPr>
          <w:rFonts w:ascii="Times New Roman" w:hAnsi="Times New Roman"/>
          <w:sz w:val="28"/>
          <w:szCs w:val="28"/>
          <w:highlight w:val="white"/>
        </w:rPr>
        <w:t>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8"/>
          <w:szCs w:val="28"/>
          <w:highlight w:val="yellow"/>
        </w:rPr>
      </w:pPr>
      <w:r>
        <w:rPr>
          <w:rFonts w:ascii="Times New Roman" w:hAnsi="Times New Roman"/>
          <w:sz w:val="28"/>
          <w:szCs w:val="28"/>
          <w:highlight w:val="yellow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>
          <w:highlight w:val="white"/>
        </w:rPr>
      </w:pPr>
      <w:r>
        <w:rPr>
          <w:rFonts w:ascii="Times New Roman" w:hAnsi="Times New Roman"/>
          <w:sz w:val="28"/>
          <w:szCs w:val="28"/>
          <w:highlight w:val="white"/>
        </w:rPr>
        <w:t xml:space="preserve">В рамках осуществления </w:t>
      </w:r>
      <w:r>
        <w:rPr>
          <w:rFonts w:ascii="Times New Roman" w:hAnsi="Times New Roman"/>
          <w:b/>
          <w:bCs/>
          <w:i/>
          <w:iCs/>
          <w:sz w:val="28"/>
          <w:szCs w:val="28"/>
          <w:highlight w:val="white"/>
        </w:rPr>
        <w:t>федерального</w:t>
      </w:r>
      <w:r>
        <w:rPr>
          <w:rFonts w:ascii="Times New Roman" w:hAnsi="Times New Roman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b/>
          <w:bCs/>
          <w:i/>
          <w:iCs/>
          <w:sz w:val="28"/>
          <w:szCs w:val="28"/>
          <w:highlight w:val="white"/>
        </w:rPr>
        <w:t>государственного контроля за соблюдением законодательства в сфере оборота оружия</w:t>
      </w:r>
      <w:r>
        <w:rPr>
          <w:rFonts w:ascii="Times New Roman" w:hAnsi="Times New Roman"/>
          <w:sz w:val="28"/>
          <w:szCs w:val="28"/>
          <w:highlight w:val="white"/>
        </w:rPr>
        <w:t xml:space="preserve"> в 202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highlight w:val="white"/>
          <w:lang w:val="ru-RU" w:eastAsia="zh-CN" w:bidi="hi-IN"/>
        </w:rPr>
        <w:t>3</w:t>
      </w:r>
      <w:r>
        <w:rPr>
          <w:rFonts w:ascii="Times New Roman" w:hAnsi="Times New Roman"/>
          <w:sz w:val="28"/>
          <w:szCs w:val="28"/>
          <w:highlight w:val="white"/>
        </w:rPr>
        <w:t xml:space="preserve"> году  планов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highlight w:val="white"/>
          <w:lang w:val="ru-RU" w:eastAsia="zh-CN" w:bidi="hi-IN"/>
        </w:rPr>
        <w:t>ые</w:t>
      </w:r>
      <w:r>
        <w:rPr>
          <w:rFonts w:ascii="Times New Roman" w:hAnsi="Times New Roman"/>
          <w:sz w:val="28"/>
          <w:szCs w:val="28"/>
          <w:highlight w:val="white"/>
        </w:rPr>
        <w:t xml:space="preserve"> выездн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highlight w:val="white"/>
          <w:lang w:val="ru-RU" w:eastAsia="zh-CN" w:bidi="hi-IN"/>
        </w:rPr>
        <w:t>ые</w:t>
      </w:r>
      <w:r>
        <w:rPr>
          <w:rFonts w:ascii="Times New Roman" w:hAnsi="Times New Roman"/>
          <w:sz w:val="28"/>
          <w:szCs w:val="28"/>
          <w:highlight w:val="white"/>
        </w:rPr>
        <w:t xml:space="preserve"> проверк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highlight w:val="white"/>
          <w:lang w:val="ru-RU" w:eastAsia="zh-CN" w:bidi="hi-IN"/>
        </w:rPr>
        <w:t>и</w:t>
      </w:r>
      <w:r>
        <w:rPr>
          <w:rFonts w:ascii="Times New Roman" w:hAnsi="Times New Roman"/>
          <w:sz w:val="28"/>
          <w:szCs w:val="28"/>
          <w:highlight w:val="white"/>
        </w:rPr>
        <w:t xml:space="preserve"> юридическ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highlight w:val="white"/>
          <w:lang w:val="ru-RU" w:eastAsia="zh-CN" w:bidi="hi-IN"/>
        </w:rPr>
        <w:t>их</w:t>
      </w:r>
      <w:r>
        <w:rPr>
          <w:rFonts w:ascii="Times New Roman" w:hAnsi="Times New Roman"/>
          <w:sz w:val="28"/>
          <w:szCs w:val="28"/>
          <w:highlight w:val="white"/>
        </w:rPr>
        <w:t xml:space="preserve"> лиц имеющ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highlight w:val="white"/>
          <w:lang w:val="ru-RU" w:eastAsia="zh-CN" w:bidi="hi-IN"/>
        </w:rPr>
        <w:t>их</w:t>
      </w:r>
      <w:r>
        <w:rPr>
          <w:rFonts w:ascii="Times New Roman" w:hAnsi="Times New Roman"/>
          <w:sz w:val="28"/>
          <w:szCs w:val="28"/>
          <w:highlight w:val="white"/>
        </w:rPr>
        <w:t xml:space="preserve"> лицензию на торговлю оружием и патронами к нему не проводились.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highlight w:val="white"/>
        </w:rPr>
      </w:pPr>
      <w:r>
        <w:rPr>
          <w:rFonts w:ascii="Times New Roman" w:hAnsi="Times New Roman"/>
          <w:sz w:val="28"/>
          <w:szCs w:val="28"/>
          <w:highlight w:val="white"/>
        </w:rPr>
        <w:t>В 2023 году в отношении вышеуказанных юридических лиц осуществлено 14 проверок обеспечения условий хранения (сохранности) оружия, по результатом которых 1 юридическое лицо привлечено к административной ответственности за совершение правонарушения предусмотренного частью 1 статьи 20.8 КоАП РФ.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highlight w:val="white"/>
        </w:rPr>
      </w:pP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highlight w:val="white"/>
          <w:lang w:val="ru-RU" w:eastAsia="zh-CN" w:bidi="hi-IN"/>
        </w:rPr>
        <w:t>Основания и результаты проведения проверок в 2023 году в судах не оспаривались.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color w:val="000000"/>
          <w:spacing w:val="0"/>
          <w:sz w:val="28"/>
          <w:highlight w:val="yellow"/>
        </w:rPr>
      </w:pPr>
      <w:r>
        <w:rPr>
          <w:rFonts w:ascii="Times New Roman" w:hAnsi="Times New Roman"/>
          <w:color w:val="000000"/>
          <w:spacing w:val="0"/>
          <w:sz w:val="28"/>
          <w:highlight w:val="yellow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color w:val="000000"/>
          <w:spacing w:val="0"/>
          <w:sz w:val="28"/>
        </w:rPr>
        <w:t xml:space="preserve">В рамках осуществления </w:t>
      </w:r>
      <w:r>
        <w:rPr>
          <w:rFonts w:ascii="Times New Roman" w:hAnsi="Times New Roman"/>
          <w:b/>
          <w:i/>
          <w:color w:val="000000"/>
          <w:spacing w:val="0"/>
          <w:sz w:val="28"/>
        </w:rPr>
        <w:t xml:space="preserve">федерального государственного контроля (надзора) за обеспечением безопасности объектов топливно-энергетического комплекса (далее — ТЭК), </w:t>
      </w:r>
      <w:r>
        <w:rPr>
          <w:rFonts w:ascii="Times New Roman" w:hAnsi="Times New Roman"/>
          <w:b w:val="false"/>
          <w:bCs w:val="false"/>
          <w:i w:val="false"/>
          <w:iCs w:val="false"/>
          <w:color w:val="000000"/>
          <w:spacing w:val="0"/>
          <w:sz w:val="28"/>
        </w:rPr>
        <w:t xml:space="preserve">в </w:t>
      </w:r>
      <w:r>
        <w:rPr>
          <w:rFonts w:ascii="Times New Roman" w:hAnsi="Times New Roman"/>
          <w:b w:val="false"/>
          <w:i w:val="false"/>
          <w:color w:val="000000"/>
          <w:spacing w:val="0"/>
          <w:sz w:val="28"/>
        </w:rPr>
        <w:t>соответствии с планом проведения плановых проверок объектов ТЭК Управлением Росгвардии по Калининградской области в 2023 год</w:t>
      </w:r>
      <w:r>
        <w:rPr>
          <w:rFonts w:eastAsia="Tahoma" w:cs="Noto Sans Devanagari" w:ascii="Times New Roman" w:hAnsi="Times New Roman"/>
          <w:b w:val="false"/>
          <w:i w:val="false"/>
          <w:color w:val="000000"/>
          <w:spacing w:val="0"/>
          <w:kern w:val="0"/>
          <w:sz w:val="28"/>
          <w:szCs w:val="20"/>
          <w:lang w:val="ru-RU" w:eastAsia="zh-CN" w:bidi="hi-IN"/>
        </w:rPr>
        <w:t>у</w:t>
      </w:r>
      <w:r>
        <w:rPr>
          <w:rFonts w:ascii="Times New Roman" w:hAnsi="Times New Roman"/>
          <w:b w:val="false"/>
          <w:i w:val="false"/>
          <w:color w:val="000000"/>
          <w:spacing w:val="0"/>
          <w:sz w:val="28"/>
        </w:rPr>
        <w:t xml:space="preserve"> осуществлено 19 плановых проверок объектов ТЭК, принадлежащих </w:t>
      </w:r>
      <w:r>
        <w:rPr>
          <w:rFonts w:eastAsia="Tahoma" w:cs="Noto Sans Devanagari" w:ascii="Times New Roman" w:hAnsi="Times New Roman"/>
          <w:b w:val="false"/>
          <w:i w:val="false"/>
          <w:color w:val="000000"/>
          <w:spacing w:val="0"/>
          <w:kern w:val="0"/>
          <w:sz w:val="28"/>
          <w:szCs w:val="20"/>
          <w:lang w:val="ru-RU" w:eastAsia="zh-CN" w:bidi="hi-IN"/>
        </w:rPr>
        <w:t>11</w:t>
      </w:r>
      <w:r>
        <w:rPr>
          <w:rFonts w:ascii="Times New Roman" w:hAnsi="Times New Roman"/>
          <w:b w:val="false"/>
          <w:i w:val="false"/>
          <w:color w:val="000000"/>
          <w:spacing w:val="0"/>
          <w:sz w:val="28"/>
        </w:rPr>
        <w:t xml:space="preserve"> субъектам ТЭК, в том числе 1 проверка объекта высокой категории опасности, </w:t>
      </w:r>
      <w:r>
        <w:rPr>
          <w:rFonts w:eastAsia="Tahoma" w:cs="Noto Sans Devanagari" w:ascii="Times New Roman" w:hAnsi="Times New Roman"/>
          <w:b w:val="false"/>
          <w:i w:val="false"/>
          <w:color w:val="000000"/>
          <w:spacing w:val="0"/>
          <w:kern w:val="0"/>
          <w:sz w:val="28"/>
          <w:szCs w:val="20"/>
          <w:lang w:val="ru-RU" w:eastAsia="zh-CN" w:bidi="hi-IN"/>
        </w:rPr>
        <w:t>11</w:t>
      </w:r>
      <w:r>
        <w:rPr>
          <w:rFonts w:ascii="Times New Roman" w:hAnsi="Times New Roman"/>
          <w:b w:val="false"/>
          <w:i w:val="false"/>
          <w:color w:val="000000"/>
          <w:spacing w:val="0"/>
          <w:sz w:val="28"/>
        </w:rPr>
        <w:t xml:space="preserve"> - средней категории, </w:t>
      </w:r>
      <w:r>
        <w:rPr>
          <w:rFonts w:eastAsia="Tahoma" w:cs="Noto Sans Devanagari" w:ascii="Times New Roman" w:hAnsi="Times New Roman"/>
          <w:b w:val="false"/>
          <w:i w:val="false"/>
          <w:color w:val="000000"/>
          <w:spacing w:val="0"/>
          <w:kern w:val="0"/>
          <w:sz w:val="28"/>
          <w:szCs w:val="20"/>
          <w:lang w:val="ru-RU" w:eastAsia="zh-CN" w:bidi="hi-IN"/>
        </w:rPr>
        <w:t>7</w:t>
      </w:r>
      <w:r>
        <w:rPr>
          <w:rFonts w:ascii="Times New Roman" w:hAnsi="Times New Roman"/>
          <w:b w:val="false"/>
          <w:i w:val="false"/>
          <w:color w:val="000000"/>
          <w:spacing w:val="0"/>
          <w:sz w:val="28"/>
        </w:rPr>
        <w:t xml:space="preserve"> - низкой категории. Также сотрудниками Управления проведено </w:t>
      </w:r>
      <w:r>
        <w:rPr>
          <w:rFonts w:eastAsia="Tahoma" w:cs="Noto Sans Devanagari" w:ascii="Times New Roman" w:hAnsi="Times New Roman"/>
          <w:b w:val="false"/>
          <w:i w:val="false"/>
          <w:color w:val="000000"/>
          <w:spacing w:val="0"/>
          <w:kern w:val="0"/>
          <w:sz w:val="28"/>
          <w:szCs w:val="20"/>
          <w:lang w:val="ru-RU" w:eastAsia="zh-CN" w:bidi="hi-IN"/>
        </w:rPr>
        <w:t>20</w:t>
      </w:r>
      <w:r>
        <w:rPr>
          <w:rFonts w:ascii="Times New Roman" w:hAnsi="Times New Roman"/>
          <w:b w:val="false"/>
          <w:i w:val="false"/>
          <w:color w:val="000000"/>
          <w:spacing w:val="0"/>
          <w:sz w:val="28"/>
        </w:rPr>
        <w:t xml:space="preserve"> внеплановых проверок объектов ТЭК, принадлежащих </w:t>
      </w:r>
      <w:r>
        <w:rPr>
          <w:rFonts w:eastAsia="Tahoma" w:cs="Noto Sans Devanagari" w:ascii="Times New Roman" w:hAnsi="Times New Roman"/>
          <w:b w:val="false"/>
          <w:i w:val="false"/>
          <w:color w:val="000000"/>
          <w:spacing w:val="0"/>
          <w:kern w:val="0"/>
          <w:sz w:val="28"/>
          <w:szCs w:val="20"/>
          <w:lang w:val="ru-RU" w:eastAsia="zh-CN" w:bidi="hi-IN"/>
        </w:rPr>
        <w:t>11</w:t>
      </w:r>
      <w:r>
        <w:rPr>
          <w:rFonts w:ascii="Times New Roman" w:hAnsi="Times New Roman"/>
          <w:b w:val="false"/>
          <w:i w:val="false"/>
          <w:color w:val="000000"/>
          <w:spacing w:val="0"/>
          <w:sz w:val="28"/>
        </w:rPr>
        <w:t xml:space="preserve"> субъектам ТЭК.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b w:val="false"/>
          <w:i w:val="false"/>
          <w:color w:val="000000"/>
          <w:spacing w:val="0"/>
          <w:sz w:val="28"/>
        </w:rPr>
        <w:t xml:space="preserve">При проверке указанных объектов выявлено </w:t>
      </w:r>
      <w:r>
        <w:rPr>
          <w:rFonts w:eastAsia="Tahoma" w:cs="Noto Sans Devanagari" w:ascii="Times New Roman" w:hAnsi="Times New Roman"/>
          <w:b w:val="false"/>
          <w:i w:val="false"/>
          <w:color w:val="000000"/>
          <w:spacing w:val="0"/>
          <w:kern w:val="0"/>
          <w:sz w:val="28"/>
          <w:szCs w:val="20"/>
          <w:lang w:val="ru-RU" w:eastAsia="zh-CN" w:bidi="hi-IN"/>
        </w:rPr>
        <w:t>309</w:t>
      </w:r>
      <w:r>
        <w:rPr>
          <w:rFonts w:ascii="Times New Roman" w:hAnsi="Times New Roman"/>
          <w:b w:val="false"/>
          <w:i w:val="false"/>
          <w:color w:val="000000"/>
          <w:spacing w:val="0"/>
          <w:sz w:val="28"/>
        </w:rPr>
        <w:t xml:space="preserve"> нарушений обязательных требований к обеспечению безопасности и антитеррористической защищенности объектов ТЭК.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b w:val="false"/>
          <w:b w:val="false"/>
          <w:i w:val="false"/>
          <w:i w:val="false"/>
          <w:color w:val="C9211E"/>
          <w:spacing w:val="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pacing w:val="0"/>
          <w:sz w:val="28"/>
        </w:rPr>
        <w:t>В целях своевременного приведения состояния безопасности объектов ТЭК в соответствие установленным требованиям, уполномоченным должностным лицам выдано 3 предписани</w:t>
      </w:r>
      <w:r>
        <w:rPr>
          <w:rFonts w:eastAsia="Tahoma" w:cs="Noto Sans Devanagari" w:ascii="Times New Roman" w:hAnsi="Times New Roman"/>
          <w:b w:val="false"/>
          <w:i w:val="false"/>
          <w:color w:val="000000"/>
          <w:spacing w:val="0"/>
          <w:kern w:val="0"/>
          <w:sz w:val="28"/>
          <w:szCs w:val="20"/>
          <w:lang w:val="ru-RU" w:eastAsia="zh-CN" w:bidi="hi-IN"/>
        </w:rPr>
        <w:t>я</w:t>
      </w:r>
      <w:r>
        <w:rPr>
          <w:rFonts w:ascii="Times New Roman" w:hAnsi="Times New Roman"/>
          <w:b w:val="false"/>
          <w:i w:val="false"/>
          <w:color w:val="000000"/>
          <w:spacing w:val="0"/>
          <w:sz w:val="28"/>
        </w:rPr>
        <w:t xml:space="preserve"> об устранении выявленных нарушений.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olor w:val="000000"/>
          <w:spacing w:val="0"/>
          <w:sz w:val="28"/>
          <w:szCs w:val="28"/>
          <w:lang w:eastAsia="zh-CN"/>
        </w:rPr>
        <w:t xml:space="preserve">По результатам проверок за допущенные нарушения в отношении уполномоченных должностных лиц субъектов ТЭК и юридических лиц составлено </w:t>
      </w:r>
      <w:r>
        <w:rPr>
          <w:rFonts w:eastAsia="Tahoma" w:cs="Noto Sans Devanagari" w:ascii="Times New Roman" w:hAnsi="Times New Roman"/>
          <w:b w:val="false"/>
          <w:bCs w:val="false"/>
          <w:i w:val="false"/>
          <w:color w:val="000000"/>
          <w:spacing w:val="0"/>
          <w:kern w:val="0"/>
          <w:sz w:val="28"/>
          <w:szCs w:val="20"/>
          <w:lang w:val="ru-RU" w:eastAsia="zh-CN" w:bidi="hi-IN"/>
        </w:rPr>
        <w:t>18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olor w:val="000000"/>
          <w:spacing w:val="0"/>
          <w:sz w:val="28"/>
          <w:szCs w:val="28"/>
          <w:lang w:eastAsia="zh-CN"/>
        </w:rPr>
        <w:t xml:space="preserve"> протоколов об административном правонарушении, из них по ч. 1, ч. 2 ст. 20.30 КоАП РФ – 3, по ч. 36 ст. 19.5 КоАП РФ – 15.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olor w:val="000000"/>
          <w:spacing w:val="0"/>
          <w:sz w:val="28"/>
          <w:szCs w:val="28"/>
          <w:u w:val="none"/>
          <w:lang w:eastAsia="zh-CN"/>
        </w:rPr>
        <w:t>Наложено административных штрафов на общую сумму 2</w:t>
      </w:r>
      <w:r>
        <w:rPr>
          <w:rFonts w:eastAsia="Tahoma" w:cs="Noto Sans Devanagari" w:ascii="Times New Roman" w:hAnsi="Times New Roman"/>
          <w:b w:val="false"/>
          <w:bCs w:val="false"/>
          <w:i w:val="false"/>
          <w:color w:val="000000"/>
          <w:spacing w:val="0"/>
          <w:kern w:val="0"/>
          <w:sz w:val="28"/>
          <w:szCs w:val="20"/>
          <w:u w:val="none"/>
          <w:lang w:val="ru-RU" w:eastAsia="zh-CN" w:bidi="hi-IN"/>
        </w:rPr>
        <w:t>65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olor w:val="000000"/>
          <w:spacing w:val="0"/>
          <w:sz w:val="28"/>
          <w:szCs w:val="28"/>
          <w:u w:val="none"/>
          <w:lang w:eastAsia="zh-CN"/>
        </w:rPr>
        <w:t xml:space="preserve"> тыс. рублей.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sz w:val="28"/>
          <w:szCs w:val="28"/>
          <w:lang w:val="ru-RU" w:eastAsia="zh-CN" w:bidi="hi-IN"/>
        </w:rPr>
        <w:t>В рамках «Программы профилактики нарушений обязательных требований, при осуществлении федерального государственного контроля (надзора) в установленных сферах на 2023 год» предостережения о недопустимости нарушения обязательных требований не выдавались.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b w:val="false"/>
          <w:bCs w:val="false"/>
          <w:i w:val="false"/>
          <w:iCs w:val="false"/>
          <w:color w:val="000000"/>
          <w:spacing w:val="0"/>
          <w:sz w:val="28"/>
        </w:rPr>
        <w:t xml:space="preserve">В сфере </w:t>
      </w:r>
      <w:r>
        <w:rPr>
          <w:rFonts w:ascii="Times New Roman" w:hAnsi="Times New Roman"/>
          <w:b/>
          <w:i/>
          <w:color w:val="000000"/>
          <w:spacing w:val="0"/>
          <w:sz w:val="28"/>
        </w:rPr>
        <w:t>контроля за деятельностью подразделений охраны юридических лиц с особыми уставными задачами и подразделений ведомственной охраны.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color w:val="000000"/>
          <w:spacing w:val="0"/>
          <w:sz w:val="28"/>
        </w:rPr>
        <w:t>В настоящее время на территории Калининградской области осуществляет деятельность 12 подразделений охраны (6 подразделений юридических лиц с особыми уставными задачами и 6 подразделений ведомственной охраны).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color w:val="000000"/>
          <w:spacing w:val="0"/>
          <w:sz w:val="28"/>
        </w:rPr>
        <w:t xml:space="preserve">В соответствии с планом проведения плановых проверок подразделений охраны юридических лиц с особыми уставными задачами и подразделений ведомственной охраны,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0"/>
          <w:lang w:val="ru-RU" w:eastAsia="zh-CN" w:bidi="hi-IN"/>
        </w:rPr>
        <w:t>в</w:t>
      </w:r>
      <w:r>
        <w:rPr>
          <w:rFonts w:ascii="Times New Roman" w:hAnsi="Times New Roman"/>
          <w:color w:val="000000"/>
          <w:spacing w:val="0"/>
          <w:sz w:val="28"/>
        </w:rPr>
        <w:t xml:space="preserve"> 2023 год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0"/>
          <w:lang w:val="ru-RU" w:eastAsia="zh-CN" w:bidi="hi-IN"/>
        </w:rPr>
        <w:t>у</w:t>
      </w:r>
      <w:r>
        <w:rPr>
          <w:rFonts w:ascii="Times New Roman" w:hAnsi="Times New Roman"/>
          <w:color w:val="000000"/>
          <w:spacing w:val="0"/>
          <w:sz w:val="28"/>
        </w:rPr>
        <w:t xml:space="preserve"> Управлением Росгвардии по Калининградской области проведено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0"/>
          <w:lang w:val="ru-RU" w:eastAsia="zh-CN" w:bidi="hi-IN"/>
        </w:rPr>
        <w:t>3</w:t>
      </w:r>
      <w:r>
        <w:rPr>
          <w:rFonts w:ascii="Times New Roman" w:hAnsi="Times New Roman"/>
          <w:color w:val="000000"/>
          <w:spacing w:val="0"/>
          <w:sz w:val="28"/>
        </w:rPr>
        <w:t xml:space="preserve"> плановые проверки указанных подразделений охраны, в ходе которых выявлено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0"/>
          <w:lang w:val="ru-RU" w:eastAsia="zh-CN" w:bidi="hi-IN"/>
        </w:rPr>
        <w:t>10</w:t>
      </w:r>
      <w:r>
        <w:rPr>
          <w:rFonts w:ascii="Times New Roman" w:hAnsi="Times New Roman"/>
          <w:color w:val="000000"/>
          <w:spacing w:val="0"/>
          <w:sz w:val="28"/>
        </w:rPr>
        <w:t xml:space="preserve"> нарушений обязательных требований, выдано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0"/>
          <w:lang w:val="ru-RU" w:eastAsia="zh-CN" w:bidi="hi-IN"/>
        </w:rPr>
        <w:t>3</w:t>
      </w:r>
      <w:r>
        <w:rPr>
          <w:rFonts w:ascii="Times New Roman" w:hAnsi="Times New Roman"/>
          <w:color w:val="000000"/>
          <w:spacing w:val="0"/>
          <w:sz w:val="28"/>
        </w:rPr>
        <w:t xml:space="preserve"> обязательных к исполнению предписания об устранении выявленных нарушений, составлен протокол об административном правонарушении, предусмотренном ст. 20.8 КоАП РФ.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0"/>
          <w:lang w:val="ru-RU" w:eastAsia="zh-CN" w:bidi="hi-IN"/>
        </w:rPr>
        <w:t>Т</w:t>
      </w:r>
      <w:r>
        <w:rPr>
          <w:rFonts w:ascii="Times New Roman" w:hAnsi="Times New Roman"/>
          <w:color w:val="000000"/>
          <w:spacing w:val="0"/>
          <w:sz w:val="28"/>
        </w:rPr>
        <w:t>акже проведена 1 внеплановая проверка подразделения ведомственной охраны, по результатам которой выявлено 1 нарушение обязательных требований, выдано 1 обязатель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0"/>
          <w:lang w:val="ru-RU" w:eastAsia="zh-CN" w:bidi="hi-IN"/>
        </w:rPr>
        <w:t xml:space="preserve">ное </w:t>
      </w:r>
      <w:r>
        <w:rPr>
          <w:rFonts w:ascii="Times New Roman" w:hAnsi="Times New Roman"/>
          <w:color w:val="000000"/>
          <w:spacing w:val="0"/>
          <w:sz w:val="28"/>
        </w:rPr>
        <w:t>к исполнению предписани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0"/>
          <w:lang w:val="ru-RU" w:eastAsia="zh-CN" w:bidi="hi-IN"/>
        </w:rPr>
        <w:t>е</w:t>
      </w:r>
      <w:r>
        <w:rPr>
          <w:rFonts w:ascii="Times New Roman" w:hAnsi="Times New Roman"/>
          <w:color w:val="000000"/>
          <w:spacing w:val="0"/>
          <w:sz w:val="28"/>
        </w:rPr>
        <w:t xml:space="preserve"> об устранении выявленных нарушений. 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highlight w:val="white"/>
        </w:rPr>
      </w:pPr>
      <w:r>
        <w:rPr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sz w:val="28"/>
          <w:szCs w:val="28"/>
          <w:highlight w:val="white"/>
          <w:lang w:val="ru-RU" w:eastAsia="zh-CN" w:bidi="hi-IN"/>
        </w:rPr>
        <w:t>В рамках «Программы профилактики нарушений обязательных требований, при осуществлении федерального государственного контроля (надзора) в установленных сферах на 2023 год» предостережения о недопустимости нарушения обязательных требований не выдавались.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8"/>
          <w:szCs w:val="28"/>
          <w:highlight w:val="yellow"/>
        </w:rPr>
      </w:pPr>
      <w:r>
        <w:rPr>
          <w:rFonts w:ascii="Times New Roman" w:hAnsi="Times New Roman"/>
          <w:sz w:val="28"/>
          <w:szCs w:val="28"/>
          <w:highlight w:val="yellow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>
          <w:highlight w:val="white"/>
        </w:rPr>
      </w:pPr>
      <w:r>
        <w:rPr>
          <w:rFonts w:ascii="Times New Roman" w:hAnsi="Times New Roman"/>
          <w:b/>
          <w:bCs/>
          <w:i/>
          <w:iCs/>
          <w:sz w:val="28"/>
          <w:szCs w:val="28"/>
          <w:highlight w:val="white"/>
        </w:rPr>
        <w:t>Перечень наиболее часто встречающихся нарушений обязательных требований выявленных в ходе осуществления федерального государственного контроля в установленных сферах деятельности: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highlight w:val="white"/>
        </w:rPr>
      </w:pPr>
      <w:r>
        <w:rPr>
          <w:rFonts w:ascii="Times New Roman" w:hAnsi="Times New Roman"/>
          <w:sz w:val="28"/>
          <w:szCs w:val="28"/>
          <w:highlight w:val="white"/>
          <w:u w:val="single"/>
        </w:rPr>
        <w:t>При проведении проверок частных охранных организаций в 202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highlight w:val="white"/>
          <w:u w:val="single"/>
          <w:lang w:val="ru-RU" w:eastAsia="zh-CN" w:bidi="hi-IN"/>
        </w:rPr>
        <w:t>3</w:t>
      </w:r>
      <w:r>
        <w:rPr>
          <w:rFonts w:ascii="Times New Roman" w:hAnsi="Times New Roman"/>
          <w:sz w:val="28"/>
          <w:szCs w:val="28"/>
          <w:highlight w:val="white"/>
          <w:u w:val="single"/>
        </w:rPr>
        <w:t xml:space="preserve"> год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highlight w:val="white"/>
          <w:u w:val="single"/>
          <w:lang w:val="ru-RU" w:eastAsia="zh-CN" w:bidi="hi-IN"/>
        </w:rPr>
        <w:t>у</w:t>
      </w:r>
      <w:r>
        <w:rPr>
          <w:rFonts w:ascii="Times New Roman" w:hAnsi="Times New Roman"/>
          <w:sz w:val="28"/>
          <w:szCs w:val="28"/>
          <w:highlight w:val="white"/>
          <w:u w:val="single"/>
        </w:rPr>
        <w:t>, типичны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highlight w:val="white"/>
          <w:u w:val="single"/>
          <w:lang w:val="ru-RU" w:eastAsia="zh-CN" w:bidi="hi-IN"/>
        </w:rPr>
        <w:t>е</w:t>
      </w:r>
      <w:r>
        <w:rPr>
          <w:rFonts w:ascii="Times New Roman" w:hAnsi="Times New Roman"/>
          <w:sz w:val="28"/>
          <w:szCs w:val="28"/>
          <w:highlight w:val="white"/>
          <w:u w:val="single"/>
        </w:rPr>
        <w:t xml:space="preserve"> нарушения остаются неизменными:</w:t>
      </w:r>
    </w:p>
    <w:p>
      <w:pPr>
        <w:pStyle w:val="Normal"/>
        <w:shd w:val="clear" w:color="auto" w:fill="FFFFFF" w:themeFill="background1"/>
        <w:spacing w:lineRule="auto" w:line="240" w:before="0" w:after="0"/>
        <w:ind w:firstLine="709"/>
        <w:jc w:val="both"/>
        <w:rPr>
          <w:u w:val="none"/>
        </w:rPr>
      </w:pPr>
      <w:r>
        <w:rPr>
          <w:rFonts w:cs="Times New Roman" w:ascii="Times New Roman" w:hAnsi="Times New Roman"/>
          <w:bCs/>
          <w:sz w:val="28"/>
          <w:szCs w:val="28"/>
          <w:u w:val="none"/>
        </w:rPr>
        <w:t>1. Нарушение ст. 12 Закона РФ «О частной детективной и охранной деятельности в Российской Федерации» от 11.03.1992 № 2487-I (далее — Закон РФ от 11.03.1992 № 2487-I), в части привлечения к оказанию охранных услуг частных охранников без оформления в подразделениях лицензионно разрешительной работы личных карточек охранника, а также в непредставлении на работников ежегодных медицинских заключений об отсутствии противопоказаний к осуществлении частной охранной деятельности;</w:t>
      </w:r>
    </w:p>
    <w:p>
      <w:pPr>
        <w:pStyle w:val="Normal"/>
        <w:shd w:val="clear" w:color="auto" w:fill="FFFFFF" w:themeFill="background1"/>
        <w:spacing w:lineRule="auto" w:line="240" w:before="0" w:after="0"/>
        <w:ind w:firstLine="709"/>
        <w:jc w:val="both"/>
        <w:rPr>
          <w:u w:val="none"/>
        </w:rPr>
      </w:pPr>
      <w:r>
        <w:rPr>
          <w:rFonts w:cs="Times New Roman" w:ascii="Times New Roman" w:hAnsi="Times New Roman"/>
          <w:bCs/>
          <w:sz w:val="28"/>
          <w:szCs w:val="28"/>
          <w:u w:val="none"/>
        </w:rPr>
        <w:t>2. Нарушение требований ч. 1 ст. 9, ч. 4 ст. 12 Закона РФ от 11.03.1992  № 2487-I, в части нарушения требований к договорам об оказании охранных услуг, а именно несоответствие видов оказания охранных услуг ст. 3 Закона РФ от 11.03.1992 года № 2487-I;</w:t>
      </w:r>
    </w:p>
    <w:p>
      <w:pPr>
        <w:pStyle w:val="Normal"/>
        <w:shd w:val="clear" w:color="auto" w:fill="FFFFFF" w:themeFill="background1"/>
        <w:spacing w:lineRule="auto" w:line="240" w:before="0" w:after="0"/>
        <w:ind w:firstLine="709"/>
        <w:jc w:val="both"/>
        <w:rPr>
          <w:u w:val="none"/>
        </w:rPr>
      </w:pPr>
      <w:r>
        <w:rPr>
          <w:rFonts w:cs="Times New Roman" w:ascii="Times New Roman" w:hAnsi="Times New Roman"/>
          <w:bCs/>
          <w:sz w:val="28"/>
          <w:szCs w:val="28"/>
          <w:u w:val="none"/>
        </w:rPr>
        <w:t>3. Нарушение требований ч. 3 ст. 16 Закона РФ от 11.03.1992 № 2487-I, в части осуществление охраны сотрудниками ЧОО не прошедшими периодическую проверку;</w:t>
      </w:r>
    </w:p>
    <w:p>
      <w:pPr>
        <w:pStyle w:val="Normal"/>
        <w:shd w:val="clear" w:fill="FFFFFF"/>
        <w:spacing w:lineRule="auto" w:line="240" w:before="0" w:after="0"/>
        <w:ind w:left="0" w:right="0" w:firstLine="709"/>
        <w:jc w:val="both"/>
        <w:rPr/>
      </w:pPr>
      <w:r>
        <w:rPr>
          <w:rFonts w:eastAsia="Calibri" w:cs="Times New Roman" w:ascii="Times New Roman" w:hAnsi="Times New Roman"/>
          <w:bCs/>
          <w:sz w:val="28"/>
          <w:szCs w:val="28"/>
          <w:u w:val="none"/>
        </w:rPr>
        <w:t>4. Нарушение требований ч. 2 ст. 12.1 Закона РФ от 11.03.1992 года № 2487-I в части несоответствия должностной инструкции частного охранника при обеспечении внутриобъектового и пропускного режимов, типовым требованиям, утвержденных приказом Росгвардии от 19.10.2020 № 419 «Об утверждении типовых требований к должностной инструкции частного охранника на объекте охраны»;</w:t>
      </w:r>
    </w:p>
    <w:p>
      <w:pPr>
        <w:pStyle w:val="Normal"/>
        <w:shd w:val="clear" w:fill="FFFFFF"/>
        <w:spacing w:lineRule="auto" w:line="240" w:before="0" w:after="0"/>
        <w:ind w:left="0" w:right="0" w:firstLine="709"/>
        <w:jc w:val="both"/>
        <w:rPr>
          <w:highlight w:val="white"/>
        </w:rPr>
      </w:pPr>
      <w:r>
        <w:rPr>
          <w:rFonts w:eastAsia="Calibri" w:cs="Times New Roman" w:ascii="Times New Roman" w:hAnsi="Times New Roman"/>
          <w:bCs/>
          <w:sz w:val="28"/>
          <w:szCs w:val="28"/>
          <w:highlight w:val="white"/>
          <w:u w:val="none"/>
        </w:rPr>
        <w:t xml:space="preserve">5. Нарушение требований, ч. 2. ст. 11.2 Закона РФ от 11.03.1992 года № 2487-I в части </w:t>
      </w:r>
      <w:r>
        <w:rPr>
          <w:rFonts w:eastAsia="Calibri" w:cs="Times New Roman" w:ascii="Times New Roman" w:hAnsi="Times New Roman"/>
          <w:bCs/>
          <w:color w:val="000000"/>
          <w:kern w:val="0"/>
          <w:sz w:val="28"/>
          <w:szCs w:val="28"/>
          <w:highlight w:val="white"/>
          <w:u w:val="none"/>
          <w:lang w:val="ru-RU" w:eastAsia="en-US" w:bidi="ar-SA"/>
        </w:rPr>
        <w:t>не использование работниками пассивных средств защиты (шлем и жилет защитный) при оказании охранных услуг на объектах ТСО.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highlight w:val="white"/>
          <w:u w:val="none"/>
        </w:rPr>
      </w:pPr>
      <w:r>
        <w:rPr>
          <w:rFonts w:ascii="Times New Roman" w:hAnsi="Times New Roman"/>
          <w:sz w:val="28"/>
          <w:szCs w:val="28"/>
          <w:highlight w:val="white"/>
          <w:u w:val="none"/>
        </w:rPr>
        <w:t xml:space="preserve">Типичные нарушения в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highlight w:val="white"/>
          <w:u w:val="none"/>
          <w:lang w:val="ru-RU" w:eastAsia="zh-CN" w:bidi="hi-IN"/>
        </w:rPr>
        <w:t>сфере</w:t>
      </w:r>
      <w:r>
        <w:rPr>
          <w:rFonts w:ascii="Times New Roman" w:hAnsi="Times New Roman"/>
          <w:sz w:val="28"/>
          <w:szCs w:val="28"/>
          <w:highlight w:val="white"/>
          <w:u w:val="none"/>
        </w:rPr>
        <w:t xml:space="preserve"> частной детективной деятельности: </w:t>
      </w:r>
      <w:r>
        <w:rPr>
          <w:rFonts w:ascii="Times New Roman" w:hAnsi="Times New Roman"/>
          <w:sz w:val="28"/>
          <w:szCs w:val="28"/>
          <w:highlight w:val="white"/>
          <w:u w:val="single"/>
        </w:rPr>
        <w:t>отсутствуют</w:t>
      </w:r>
      <w:r>
        <w:rPr>
          <w:rFonts w:ascii="Times New Roman" w:hAnsi="Times New Roman"/>
          <w:sz w:val="28"/>
          <w:szCs w:val="28"/>
          <w:highlight w:val="white"/>
          <w:u w:val="none"/>
        </w:rPr>
        <w:t>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highlight w:val="white"/>
          <w:u w:val="none"/>
        </w:rPr>
      </w:pPr>
      <w:r>
        <w:rPr>
          <w:rFonts w:ascii="Times New Roman" w:hAnsi="Times New Roman"/>
          <w:sz w:val="28"/>
          <w:szCs w:val="28"/>
          <w:highlight w:val="white"/>
          <w:u w:val="none"/>
        </w:rPr>
        <w:t xml:space="preserve">Типичные нарушения в области оборота оружия </w:t>
      </w:r>
      <w:r>
        <w:rPr>
          <w:rFonts w:ascii="Times New Roman" w:hAnsi="Times New Roman"/>
          <w:sz w:val="28"/>
          <w:szCs w:val="28"/>
          <w:highlight w:val="white"/>
          <w:u w:val="single"/>
        </w:rPr>
        <w:t>отсутствуют</w:t>
      </w:r>
      <w:r>
        <w:rPr>
          <w:rFonts w:ascii="Times New Roman" w:hAnsi="Times New Roman"/>
          <w:sz w:val="28"/>
          <w:szCs w:val="28"/>
          <w:highlight w:val="white"/>
          <w:u w:val="none"/>
        </w:rPr>
        <w:t>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highlight w:val="white"/>
        </w:rPr>
      </w:pPr>
      <w:r>
        <w:rPr>
          <w:rFonts w:ascii="Times New Roman" w:hAnsi="Times New Roman"/>
          <w:sz w:val="28"/>
          <w:szCs w:val="28"/>
          <w:highlight w:val="white"/>
          <w:u w:val="none"/>
        </w:rPr>
        <w:t xml:space="preserve">Типичными нарушениями в сфере обеспечения безопасности объектов топливно-энергетического комплекса </w:t>
      </w:r>
      <w:r>
        <w:rPr>
          <w:rFonts w:ascii="Times New Roman" w:hAnsi="Times New Roman"/>
          <w:sz w:val="28"/>
          <w:szCs w:val="28"/>
          <w:highlight w:val="white"/>
        </w:rPr>
        <w:t>в 2023 году, как правило, явля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highlight w:val="white"/>
          <w:lang w:val="ru-RU" w:eastAsia="zh-CN" w:bidi="hi-IN"/>
        </w:rPr>
        <w:t>лись</w:t>
      </w:r>
      <w:r>
        <w:rPr>
          <w:rFonts w:ascii="Times New Roman" w:hAnsi="Times New Roman"/>
          <w:sz w:val="28"/>
          <w:szCs w:val="28"/>
          <w:highlight w:val="white"/>
        </w:rPr>
        <w:t xml:space="preserve"> отсутствие или несоответствие основного ограждения объектов, системы видеонаблюдения, инженерно-технических средств охраны, отсутствие физической охраны, отсутствие у сотрудников охраны служебного или гражданского оружия, и другие нарушения.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8"/>
          <w:szCs w:val="28"/>
          <w:highlight w:val="yellow"/>
        </w:rPr>
      </w:pPr>
      <w:r>
        <w:rPr>
          <w:rFonts w:ascii="Times New Roman" w:hAnsi="Times New Roman"/>
          <w:sz w:val="28"/>
          <w:szCs w:val="28"/>
          <w:highlight w:val="yellow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/>
          <w:sz w:val="28"/>
          <w:szCs w:val="28"/>
          <w:highlight w:val="yellow"/>
        </w:rPr>
      </w:pPr>
      <w:r>
        <w:rPr>
          <w:rFonts w:ascii="Times New Roman" w:hAnsi="Times New Roman"/>
          <w:sz w:val="28"/>
          <w:szCs w:val="28"/>
          <w:highlight w:val="yellow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Theme="minorAscii" w:hAnsiTheme="minorHAnsi"/>
          <w:highlight w:val="white"/>
        </w:rPr>
      </w:pPr>
      <w:r>
        <w:rPr>
          <w:rFonts w:asciiTheme="minorAscii" w:hAnsiTheme="minorHAnsi" w:ascii="Times New Roman" w:hAnsi="Times New Roman"/>
          <w:i/>
          <w:iCs/>
          <w:sz w:val="28"/>
          <w:szCs w:val="28"/>
          <w:highlight w:val="white"/>
        </w:rPr>
        <w:t>Управление Росгвардии по Калининградской области</w:t>
      </w:r>
    </w:p>
    <w:p>
      <w:pPr>
        <w:pStyle w:val="Normal"/>
        <w:spacing w:before="0" w:after="200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headerReference w:type="first" r:id="rId3"/>
      <w:type w:val="nextPage"/>
      <w:pgSz w:w="11906" w:h="16838"/>
      <w:pgMar w:left="1701" w:right="1134" w:header="1134" w:top="1648" w:footer="0" w:bottom="1134" w:gutter="0"/>
      <w:pgNumType w:fmt="decimal"/>
      <w:formProt w:val="false"/>
      <w:titlePg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XO Thames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4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settings.xml><?xml version="1.0" encoding="utf-8"?>
<w:settings xmlns:w="http://schemas.openxmlformats.org/wordprocessingml/2006/main">
  <w:zoom w:percent="140"/>
  <w:defaultTabStop w:val="708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 w:asciiTheme="minorAscii" w:hAnsiTheme="minorHAns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1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basedOn w:val="Normal"/>
    <w:next w:val="Normal"/>
    <w:link w:val="Style_11_ch"/>
    <w:uiPriority w:val="9"/>
    <w:qFormat/>
    <w:pPr>
      <w:widowControl/>
      <w:bidi w:val="0"/>
      <w:spacing w:before="120" w:after="120"/>
      <w:jc w:val="left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Normal"/>
    <w:next w:val="Normal"/>
    <w:link w:val="Style_23_ch"/>
    <w:uiPriority w:val="9"/>
    <w:qFormat/>
    <w:pPr>
      <w:widowControl/>
      <w:bidi w:val="0"/>
      <w:spacing w:before="120" w:after="120"/>
      <w:jc w:val="left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basedOn w:val="Normal"/>
    <w:next w:val="Normal"/>
    <w:link w:val="Style_6_ch"/>
    <w:uiPriority w:val="9"/>
    <w:qFormat/>
    <w:pPr>
      <w:widowControl/>
      <w:bidi w:val="0"/>
      <w:jc w:val="left"/>
      <w:outlineLvl w:val="2"/>
    </w:pPr>
    <w:rPr>
      <w:rFonts w:ascii="XO Thames" w:hAnsi="XO Thames"/>
      <w:b/>
      <w:i/>
      <w:color w:val="000000"/>
    </w:rPr>
  </w:style>
  <w:style w:type="paragraph" w:styleId="4">
    <w:name w:val="Heading 4"/>
    <w:basedOn w:val="Normal"/>
    <w:next w:val="Normal"/>
    <w:link w:val="Style_22_ch"/>
    <w:uiPriority w:val="9"/>
    <w:qFormat/>
    <w:pPr>
      <w:widowControl/>
      <w:bidi w:val="0"/>
      <w:spacing w:before="120" w:after="120"/>
      <w:jc w:val="left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basedOn w:val="Normal"/>
    <w:next w:val="Normal"/>
    <w:link w:val="Style_10_ch"/>
    <w:uiPriority w:val="9"/>
    <w:qFormat/>
    <w:pPr>
      <w:widowControl/>
      <w:bidi w:val="0"/>
      <w:spacing w:before="120" w:after="120"/>
      <w:jc w:val="left"/>
      <w:outlineLvl w:val="4"/>
    </w:pPr>
    <w:rPr>
      <w:rFonts w:ascii="XO Thames" w:hAnsi="XO Thames"/>
      <w:b/>
      <w:color w:val="000000"/>
      <w:sz w:val="22"/>
    </w:rPr>
  </w:style>
  <w:style w:type="character" w:styleId="Standard" w:default="1">
    <w:name w:val="Standard"/>
    <w:link w:val="Style_1"/>
    <w:qFormat/>
    <w:rPr/>
  </w:style>
  <w:style w:type="character" w:styleId="Contents2">
    <w:name w:val="Contents 2"/>
    <w:link w:val="Style_2"/>
    <w:qFormat/>
    <w:rPr/>
  </w:style>
  <w:style w:type="character" w:styleId="Contents4">
    <w:name w:val="Contents 4"/>
    <w:link w:val="Style_3"/>
    <w:qFormat/>
    <w:rPr/>
  </w:style>
  <w:style w:type="character" w:styleId="Contents6">
    <w:name w:val="Contents 6"/>
    <w:link w:val="Style_4"/>
    <w:qFormat/>
    <w:rPr/>
  </w:style>
  <w:style w:type="character" w:styleId="Contents7">
    <w:name w:val="Contents 7"/>
    <w:link w:val="Style_5"/>
    <w:qFormat/>
    <w:rPr/>
  </w:style>
  <w:style w:type="character" w:styleId="Heading3">
    <w:name w:val="Heading 3"/>
    <w:link w:val="Style_6"/>
    <w:qFormat/>
    <w:rPr>
      <w:rFonts w:ascii="XO Thames" w:hAnsi="XO Thames"/>
      <w:b/>
      <w:i/>
      <w:color w:val="000000"/>
    </w:rPr>
  </w:style>
  <w:style w:type="character" w:styleId="DefaultParagraphFont">
    <w:name w:val="Default Paragraph Font"/>
    <w:link w:val="Style_7"/>
    <w:qFormat/>
    <w:rPr/>
  </w:style>
  <w:style w:type="character" w:styleId="Contents3">
    <w:name w:val="Contents 3"/>
    <w:link w:val="Style_8"/>
    <w:qFormat/>
    <w:rPr/>
  </w:style>
  <w:style w:type="character" w:styleId="Style9">
    <w:name w:val="Привязка сноски"/>
    <w:rPr>
      <w:vertAlign w:val="superscript"/>
    </w:rPr>
  </w:style>
  <w:style w:type="character" w:styleId="FootnoteCharacters">
    <w:name w:val="Footnote Characters"/>
    <w:link w:val="Style_9"/>
    <w:qFormat/>
    <w:rPr>
      <w:vertAlign w:val="superscript"/>
    </w:rPr>
  </w:style>
  <w:style w:type="character" w:styleId="Heading5">
    <w:name w:val="Heading 5"/>
    <w:link w:val="Style_10"/>
    <w:qFormat/>
    <w:rPr>
      <w:rFonts w:ascii="XO Thames" w:hAnsi="XO Thames"/>
      <w:b/>
      <w:color w:val="000000"/>
      <w:sz w:val="22"/>
    </w:rPr>
  </w:style>
  <w:style w:type="character" w:styleId="Heading1">
    <w:name w:val="Heading 1"/>
    <w:link w:val="Style_11"/>
    <w:qFormat/>
    <w:rPr>
      <w:rFonts w:ascii="XO Thames" w:hAnsi="XO Thames"/>
      <w:b/>
      <w:sz w:val="32"/>
    </w:rPr>
  </w:style>
  <w:style w:type="character" w:styleId="Style10">
    <w:name w:val="Интернет-ссылка"/>
    <w:link w:val="Style_12"/>
    <w:rPr>
      <w:color w:val="0000FF"/>
      <w:u w:val="single"/>
    </w:rPr>
  </w:style>
  <w:style w:type="character" w:styleId="Footnote">
    <w:name w:val="Footnote"/>
    <w:basedOn w:val="Standard"/>
    <w:link w:val="Style_13"/>
    <w:qFormat/>
    <w:rPr>
      <w:rFonts w:ascii="Times New Roman" w:hAnsi="Times New Roman"/>
      <w:sz w:val="20"/>
    </w:rPr>
  </w:style>
  <w:style w:type="character" w:styleId="Contents1">
    <w:name w:val="Contents 1"/>
    <w:link w:val="Style_14"/>
    <w:qFormat/>
    <w:rPr>
      <w:rFonts w:ascii="XO Thames" w:hAnsi="XO Thames"/>
      <w:b/>
    </w:rPr>
  </w:style>
  <w:style w:type="character" w:styleId="HeaderandFooter">
    <w:name w:val="Header and Footer"/>
    <w:link w:val="Style_15"/>
    <w:qFormat/>
    <w:rPr>
      <w:rFonts w:ascii="XO Thames" w:hAnsi="XO Thames"/>
      <w:sz w:val="20"/>
    </w:rPr>
  </w:style>
  <w:style w:type="character" w:styleId="Contents9">
    <w:name w:val="Contents 9"/>
    <w:link w:val="Style_16"/>
    <w:qFormat/>
    <w:rPr/>
  </w:style>
  <w:style w:type="character" w:styleId="Contents8">
    <w:name w:val="Contents 8"/>
    <w:link w:val="Style_17"/>
    <w:qFormat/>
    <w:rPr/>
  </w:style>
  <w:style w:type="character" w:styleId="Contents5">
    <w:name w:val="Contents 5"/>
    <w:link w:val="Style_18"/>
    <w:qFormat/>
    <w:rPr/>
  </w:style>
  <w:style w:type="character" w:styleId="Subtitle">
    <w:name w:val="Subtitle"/>
    <w:link w:val="Style_19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20"/>
    <w:qFormat/>
    <w:rPr/>
  </w:style>
  <w:style w:type="character" w:styleId="Title">
    <w:name w:val="Title"/>
    <w:link w:val="Style_21"/>
    <w:qFormat/>
    <w:rPr>
      <w:rFonts w:ascii="XO Thames" w:hAnsi="XO Thames"/>
      <w:b/>
      <w:sz w:val="52"/>
    </w:rPr>
  </w:style>
  <w:style w:type="character" w:styleId="Heading4">
    <w:name w:val="Heading 4"/>
    <w:link w:val="Style_22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23"/>
    <w:qFormat/>
    <w:rPr>
      <w:rFonts w:ascii="XO Thames" w:hAnsi="XO Thames"/>
      <w:b/>
      <w:color w:val="00A0FF"/>
      <w:sz w:val="26"/>
    </w:rPr>
  </w:style>
  <w:style w:type="paragraph" w:styleId="Style11">
    <w:name w:val="Заголовок"/>
    <w:basedOn w:val="Normal"/>
    <w:next w:val="Style12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2">
    <w:name w:val="Body Text"/>
    <w:basedOn w:val="Normal"/>
    <w:pPr>
      <w:spacing w:lineRule="auto" w:line="276" w:before="0" w:after="140"/>
    </w:pPr>
    <w:rPr/>
  </w:style>
  <w:style w:type="paragraph" w:styleId="Style13">
    <w:name w:val="List"/>
    <w:basedOn w:val="Style12"/>
    <w:pPr/>
    <w:rPr>
      <w:rFonts w:ascii="PT Astra Serif" w:hAnsi="PT Astra Serif" w:cs="Noto Sans Devanagari"/>
    </w:rPr>
  </w:style>
  <w:style w:type="paragraph" w:styleId="Style14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21">
    <w:name w:val="TOC 2"/>
    <w:basedOn w:val="Normal"/>
    <w:next w:val="Normal"/>
    <w:link w:val="Style_2_ch"/>
    <w:uiPriority w:val="39"/>
    <w:pPr>
      <w:widowControl/>
      <w:bidi w:val="0"/>
      <w:ind w:left="200" w:right="0" w:hanging="0"/>
      <w:jc w:val="left"/>
    </w:pPr>
    <w:rPr/>
  </w:style>
  <w:style w:type="paragraph" w:styleId="41">
    <w:name w:val="TOC 4"/>
    <w:basedOn w:val="Normal"/>
    <w:next w:val="Normal"/>
    <w:link w:val="Style_3_ch"/>
    <w:uiPriority w:val="39"/>
    <w:pPr>
      <w:widowControl/>
      <w:bidi w:val="0"/>
      <w:ind w:left="600" w:right="0" w:hanging="0"/>
      <w:jc w:val="left"/>
    </w:pPr>
    <w:rPr/>
  </w:style>
  <w:style w:type="paragraph" w:styleId="6">
    <w:name w:val="TOC 6"/>
    <w:basedOn w:val="Normal"/>
    <w:next w:val="Normal"/>
    <w:link w:val="Style_4_ch"/>
    <w:uiPriority w:val="39"/>
    <w:pPr>
      <w:widowControl/>
      <w:bidi w:val="0"/>
      <w:ind w:left="1000" w:right="0" w:hanging="0"/>
      <w:jc w:val="left"/>
    </w:pPr>
    <w:rPr/>
  </w:style>
  <w:style w:type="paragraph" w:styleId="7">
    <w:name w:val="TOC 7"/>
    <w:basedOn w:val="Normal"/>
    <w:next w:val="Normal"/>
    <w:link w:val="Style_5_ch"/>
    <w:uiPriority w:val="39"/>
    <w:pPr>
      <w:widowControl/>
      <w:bidi w:val="0"/>
      <w:ind w:left="1200" w:right="0" w:hanging="0"/>
      <w:jc w:val="left"/>
    </w:pPr>
    <w:rPr/>
  </w:style>
  <w:style w:type="paragraph" w:styleId="DefaultParagraphFont1">
    <w:name w:val="Default Paragraph Font"/>
    <w:link w:val="Style_7_ch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31">
    <w:name w:val="TOC 3"/>
    <w:basedOn w:val="Normal"/>
    <w:next w:val="Normal"/>
    <w:link w:val="Style_8_ch"/>
    <w:uiPriority w:val="39"/>
    <w:pPr>
      <w:widowControl/>
      <w:bidi w:val="0"/>
      <w:ind w:left="400" w:right="0" w:hanging="0"/>
      <w:jc w:val="left"/>
    </w:pPr>
    <w:rPr/>
  </w:style>
  <w:style w:type="paragraph" w:styleId="FootnoteCharacters1">
    <w:name w:val="Footnote Characters"/>
    <w:link w:val="Style_9_ch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vertAlign w:val="superscript"/>
      <w:lang w:val="ru-RU" w:eastAsia="zh-CN" w:bidi="hi-IN"/>
    </w:rPr>
  </w:style>
  <w:style w:type="paragraph" w:styleId="Internetlink">
    <w:name w:val="Hyperlink"/>
    <w:link w:val="Style_12_ch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Tahoma" w:cs="Noto Sans Devanagari"/>
      <w:color w:val="0000FF"/>
      <w:spacing w:val="0"/>
      <w:kern w:val="0"/>
      <w:sz w:val="22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13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11">
    <w:name w:val="TOC 1"/>
    <w:basedOn w:val="Normal"/>
    <w:next w:val="Normal"/>
    <w:link w:val="Style_14_ch"/>
    <w:uiPriority w:val="39"/>
    <w:pPr>
      <w:widowControl/>
      <w:bidi w:val="0"/>
      <w:ind w:left="0" w:right="0" w:hanging="0"/>
      <w:jc w:val="left"/>
    </w:pPr>
    <w:rPr>
      <w:rFonts w:ascii="XO Thames" w:hAnsi="XO Thames"/>
      <w:b/>
    </w:rPr>
  </w:style>
  <w:style w:type="paragraph" w:styleId="Style16">
    <w:name w:val="Верхний и нижний колонтитулы"/>
    <w:link w:val="Style_15_ch"/>
    <w:qFormat/>
    <w:pPr>
      <w:widowControl/>
      <w:suppressAutoHyphens w:val="true"/>
      <w:bidi w:val="0"/>
      <w:spacing w:lineRule="auto" w:line="360" w:before="0" w:after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9">
    <w:name w:val="TOC 9"/>
    <w:basedOn w:val="Normal"/>
    <w:next w:val="Normal"/>
    <w:link w:val="Style_16_ch"/>
    <w:uiPriority w:val="39"/>
    <w:pPr>
      <w:widowControl/>
      <w:bidi w:val="0"/>
      <w:ind w:left="1600" w:right="0" w:hanging="0"/>
      <w:jc w:val="left"/>
    </w:pPr>
    <w:rPr/>
  </w:style>
  <w:style w:type="paragraph" w:styleId="8">
    <w:name w:val="TOC 8"/>
    <w:basedOn w:val="Normal"/>
    <w:next w:val="Normal"/>
    <w:link w:val="Style_17_ch"/>
    <w:uiPriority w:val="39"/>
    <w:pPr>
      <w:widowControl/>
      <w:bidi w:val="0"/>
      <w:ind w:left="1400" w:right="0" w:hanging="0"/>
      <w:jc w:val="left"/>
    </w:pPr>
    <w:rPr/>
  </w:style>
  <w:style w:type="paragraph" w:styleId="51">
    <w:name w:val="TOC 5"/>
    <w:basedOn w:val="Normal"/>
    <w:next w:val="Normal"/>
    <w:link w:val="Style_18_ch"/>
    <w:uiPriority w:val="39"/>
    <w:pPr>
      <w:widowControl/>
      <w:bidi w:val="0"/>
      <w:ind w:left="800" w:right="0" w:hanging="0"/>
      <w:jc w:val="left"/>
    </w:pPr>
    <w:rPr/>
  </w:style>
  <w:style w:type="paragraph" w:styleId="Style17">
    <w:name w:val="Subtitle"/>
    <w:basedOn w:val="Normal"/>
    <w:next w:val="Normal"/>
    <w:link w:val="Style_19_ch"/>
    <w:uiPriority w:val="11"/>
    <w:qFormat/>
    <w:pPr>
      <w:widowControl/>
      <w:bidi w:val="0"/>
      <w:jc w:val="left"/>
    </w:pPr>
    <w:rPr>
      <w:rFonts w:ascii="XO Thames" w:hAnsi="XO Thames"/>
      <w:i/>
      <w:color w:val="616161"/>
      <w:sz w:val="24"/>
    </w:rPr>
  </w:style>
  <w:style w:type="paragraph" w:styleId="Toc101">
    <w:name w:val="toc 10"/>
    <w:next w:val="Normal"/>
    <w:link w:val="Style_20_ch"/>
    <w:uiPriority w:val="39"/>
    <w:qFormat/>
    <w:pPr>
      <w:widowControl/>
      <w:suppressAutoHyphens w:val="true"/>
      <w:bidi w:val="0"/>
      <w:spacing w:before="0" w:after="0"/>
      <w:ind w:left="180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Style18">
    <w:name w:val="Title"/>
    <w:basedOn w:val="Normal"/>
    <w:next w:val="Normal"/>
    <w:link w:val="Style_21_ch"/>
    <w:uiPriority w:val="10"/>
    <w:qFormat/>
    <w:pPr>
      <w:widowControl/>
      <w:bidi w:val="0"/>
      <w:jc w:val="left"/>
    </w:pPr>
    <w:rPr>
      <w:rFonts w:ascii="XO Thames" w:hAnsi="XO Thames"/>
      <w:b/>
      <w:sz w:val="52"/>
    </w:rPr>
  </w:style>
  <w:style w:type="paragraph" w:styleId="Style19">
    <w:name w:val="Header"/>
    <w:basedOn w:val="Style16"/>
    <w:pPr>
      <w:suppressLineNumbers/>
      <w:tabs>
        <w:tab w:val="clear" w:pos="708"/>
        <w:tab w:val="center" w:pos="4535" w:leader="none"/>
        <w:tab w:val="right" w:pos="9071" w:leader="none"/>
      </w:tabs>
    </w:pPr>
    <w:rPr/>
  </w:style>
  <w:style w:type="table" w:default="1" w:styleId="Style_24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x14="http://schemas.microsoft.com/office/spreadsheetml/2009/9/main" xmlns:xdr="http://schemas.openxmlformats.org/drawingml/2006/spreadsheetDrawing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%">
              <a:schemeClr val="phClr">
                <a:tint val="50%"/>
                <a:satMod val="300%"/>
              </a:schemeClr>
            </a:gs>
            <a:gs pos="35%">
              <a:schemeClr val="phClr">
                <a:tint val="37%"/>
                <a:satMod val="300%"/>
              </a:schemeClr>
            </a:gs>
            <a:gs pos="100%">
              <a:schemeClr val="phClr">
                <a:tint val="15%"/>
                <a:satMod val="350%"/>
              </a:schemeClr>
            </a:gs>
          </a:gsLst>
        </a:gradFill>
        <a:gradFill>
          <a:gsLst>
            <a:gs pos="0%">
              <a:schemeClr val="phClr">
                <a:shade val="51%"/>
                <a:satMod val="130%"/>
              </a:schemeClr>
            </a:gs>
            <a:gs pos="80%">
              <a:schemeClr val="phClr">
                <a:shade val="93%"/>
                <a:satMod val="130%"/>
              </a:schemeClr>
            </a:gs>
            <a:gs pos="100%">
              <a:schemeClr val="phClr">
                <a:shade val="94%"/>
                <a:satMod val="135%"/>
              </a:schemeClr>
            </a:gs>
          </a:gsLst>
        </a:gradFill>
      </a:fillStyleLst>
      <a:lnStyleLst>
        <a:ln w="9525">
          <a:solidFill>
            <a:schemeClr val="phClr">
              <a:shade val="95%"/>
              <a:satMod val="105%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%">
              <a:schemeClr val="phClr">
                <a:tint val="40%"/>
                <a:satMod val="350%"/>
              </a:schemeClr>
            </a:gs>
            <a:gs pos="40%">
              <a:schemeClr val="phClr">
                <a:tint val="45%"/>
                <a:shade val="99%"/>
                <a:satMod val="350%"/>
              </a:schemeClr>
            </a:gs>
            <a:gs pos="100%">
              <a:schemeClr val="phClr">
                <a:shade val="20%"/>
                <a:satMod val="255%"/>
              </a:schemeClr>
            </a:gs>
          </a:gsLst>
        </a:gradFill>
        <a:gradFill>
          <a:gsLst>
            <a:gs pos="0%">
              <a:schemeClr val="phClr">
                <a:tint val="80%"/>
                <a:satMod val="300%"/>
              </a:schemeClr>
            </a:gs>
            <a:gs pos="100%">
              <a:schemeClr val="phClr">
                <a:shade val="30%"/>
                <a:satMod val="200%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14277</TotalTime>
  <Application>LibreOffice/6.4.7.2$Linux_X86_64 LibreOffice_project/40$Build-2</Application>
  <Pages>4</Pages>
  <Words>1033</Words>
  <Characters>7247</Characters>
  <CharactersWithSpaces>8257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2024-01-09T16:03:51Z</cp:lastPrinted>
  <dcterms:modified xsi:type="dcterms:W3CDTF">2024-01-09T16:20:49Z</dcterms:modified>
  <cp:revision>32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Security">
    <vt:i4>0</vt:i4>
  </property>
  <property fmtid="{D5CDD505-2E9C-101B-9397-08002B2CF9AE}" pid="3" name="ScaleCrop">
    <vt:bool>0</vt:bool>
  </property>
</Properties>
</file>